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64F54" w14:textId="77777777" w:rsidR="00275566" w:rsidRPr="00FF2915" w:rsidRDefault="00FF2915">
      <w:pPr>
        <w:pStyle w:val="Title"/>
        <w:jc w:val="center"/>
        <w:rPr>
          <w:sz w:val="40"/>
          <w:szCs w:val="44"/>
        </w:rPr>
      </w:pPr>
      <w:r w:rsidRPr="00FF2915">
        <w:rPr>
          <w:sz w:val="40"/>
          <w:szCs w:val="44"/>
        </w:rPr>
        <w:t>Apprenticeship Learning Community</w:t>
      </w:r>
      <w:r w:rsidRPr="00FF2915">
        <w:rPr>
          <w:sz w:val="40"/>
          <w:szCs w:val="44"/>
        </w:rPr>
        <w:br/>
        <w:t>Executive Summary</w:t>
      </w:r>
    </w:p>
    <w:p w14:paraId="687E382F" w14:textId="77777777" w:rsidR="00275566" w:rsidRDefault="00FF2915" w:rsidP="00FF2915">
      <w:pPr>
        <w:spacing w:after="0"/>
        <w:jc w:val="center"/>
      </w:pPr>
      <w:r>
        <w:rPr>
          <w:color w:val="595959"/>
          <w:sz w:val="24"/>
        </w:rPr>
        <w:t>Discussion on Apprenticeship Data Collection, Tracking, Reporting, and Systems</w:t>
      </w:r>
    </w:p>
    <w:p w14:paraId="4D3E47C7" w14:textId="77777777" w:rsidR="00275566" w:rsidRDefault="00FF2915" w:rsidP="00FF2915">
      <w:pPr>
        <w:spacing w:after="0"/>
        <w:jc w:val="center"/>
        <w:rPr>
          <w:i/>
        </w:rPr>
      </w:pPr>
      <w:r>
        <w:rPr>
          <w:i/>
        </w:rPr>
        <w:t>Prepared from discussion notes | May 13, 2026</w:t>
      </w:r>
    </w:p>
    <w:p w14:paraId="0625D759" w14:textId="77777777" w:rsidR="00FF2915" w:rsidRDefault="00FF2915" w:rsidP="00FF2915">
      <w:pPr>
        <w:spacing w:after="0"/>
        <w:jc w:val="center"/>
      </w:pPr>
    </w:p>
    <w:tbl>
      <w:tblPr>
        <w:tblW w:w="0" w:type="auto"/>
        <w:jc w:val="center"/>
        <w:tblLook w:val="04A0" w:firstRow="1" w:lastRow="0" w:firstColumn="1" w:lastColumn="0" w:noHBand="0" w:noVBand="1"/>
      </w:tblPr>
      <w:tblGrid>
        <w:gridCol w:w="10224"/>
      </w:tblGrid>
      <w:tr w:rsidR="00275566" w14:paraId="69231CBF" w14:textId="77777777">
        <w:trPr>
          <w:jc w:val="center"/>
        </w:trPr>
        <w:tc>
          <w:tcPr>
            <w:tcW w:w="10224" w:type="dxa"/>
            <w:shd w:val="clear" w:color="auto" w:fill="D9EAF7"/>
            <w:vAlign w:val="center"/>
          </w:tcPr>
          <w:p w14:paraId="69547BED" w14:textId="77777777" w:rsidR="00275566" w:rsidRDefault="00FF2915">
            <w:pPr>
              <w:spacing w:after="0"/>
            </w:pPr>
            <w:r>
              <w:rPr>
                <w:b/>
              </w:rPr>
              <w:t xml:space="preserve">Purpose. </w:t>
            </w:r>
            <w:r>
              <w:t xml:space="preserve">This executive summary synthesizes the Apprenticeship </w:t>
            </w:r>
            <w:r>
              <w:t>Learning Community discussion focused on what apprenticeship data institutions collect, how it is reported, what systems are used, and where common gaps or improvement opportunities exist.</w:t>
            </w:r>
          </w:p>
        </w:tc>
      </w:tr>
    </w:tbl>
    <w:p w14:paraId="0BFADFFF" w14:textId="77777777" w:rsidR="00FF2915" w:rsidRDefault="00FF2915" w:rsidP="00FF2915">
      <w:pPr>
        <w:pStyle w:val="Heading1"/>
        <w:spacing w:before="0"/>
      </w:pPr>
    </w:p>
    <w:p w14:paraId="7E002C3D" w14:textId="4EA4310F" w:rsidR="00275566" w:rsidRDefault="00FF2915" w:rsidP="00FF2915">
      <w:pPr>
        <w:pStyle w:val="Heading1"/>
        <w:spacing w:before="0"/>
      </w:pPr>
      <w:r>
        <w:t>Executive Summary</w:t>
      </w:r>
    </w:p>
    <w:p w14:paraId="67AE1712" w14:textId="77777777" w:rsidR="00275566" w:rsidRPr="00FF2915" w:rsidRDefault="00FF2915">
      <w:pPr>
        <w:rPr>
          <w:sz w:val="22"/>
          <w:szCs w:val="24"/>
        </w:rPr>
      </w:pPr>
      <w:r w:rsidRPr="00FF2915">
        <w:rPr>
          <w:sz w:val="22"/>
          <w:szCs w:val="24"/>
        </w:rPr>
        <w:t>The discussion revealed broad alignment across participating institutions around core apprenticeship reporting requirements, with meaningful variation in data definitions, systems maturity, and capacity to track post-completion employment outcomes. Institutions are generally collecting enrollment, progression, completion, program, and employer-partner data; however, several important measures remain underdeveloped, particularly employer quality, retention after conversion or apprenticeship completion, and c</w:t>
      </w:r>
      <w:r w:rsidRPr="00FF2915">
        <w:rPr>
          <w:sz w:val="22"/>
          <w:szCs w:val="24"/>
        </w:rPr>
        <w:t>onsistent treatment of non-registered or externally managed programs.</w:t>
      </w:r>
    </w:p>
    <w:p w14:paraId="1CB80880" w14:textId="77777777" w:rsidR="00275566" w:rsidRPr="00FF2915" w:rsidRDefault="00FF2915">
      <w:pPr>
        <w:pStyle w:val="ListBullet"/>
        <w:rPr>
          <w:sz w:val="22"/>
          <w:szCs w:val="24"/>
        </w:rPr>
      </w:pPr>
      <w:r w:rsidRPr="00FF2915">
        <w:rPr>
          <w:b/>
          <w:sz w:val="22"/>
          <w:szCs w:val="24"/>
        </w:rPr>
        <w:t xml:space="preserve">Core reporting is established but fragmented. </w:t>
      </w:r>
      <w:r w:rsidRPr="00FF2915">
        <w:rPr>
          <w:sz w:val="22"/>
          <w:szCs w:val="24"/>
        </w:rPr>
        <w:t>Data is shared internally with deans, cabinet members, leadership teams, and enrollment teams; externally with ICCB, Illinois workNet, RAPIDS, WIOA partners, EDA grant reporting, and other required state or federal channels.</w:t>
      </w:r>
    </w:p>
    <w:p w14:paraId="5B2ACCBF" w14:textId="77777777" w:rsidR="00275566" w:rsidRPr="00FF2915" w:rsidRDefault="00FF2915">
      <w:pPr>
        <w:pStyle w:val="ListBullet"/>
        <w:rPr>
          <w:sz w:val="22"/>
          <w:szCs w:val="24"/>
        </w:rPr>
      </w:pPr>
      <w:r w:rsidRPr="00FF2915">
        <w:rPr>
          <w:b/>
          <w:sz w:val="22"/>
          <w:szCs w:val="24"/>
        </w:rPr>
        <w:t xml:space="preserve">Institutions rely heavily on spreadsheets. </w:t>
      </w:r>
      <w:r w:rsidRPr="00FF2915">
        <w:rPr>
          <w:sz w:val="22"/>
          <w:szCs w:val="24"/>
        </w:rPr>
        <w:t>Excel and Access remain common tracking tools, with some institutions using Navigate, Colleague tagging/coding, RAPIDS, and planned transitions to enterprise systems such as Workday.</w:t>
      </w:r>
    </w:p>
    <w:p w14:paraId="13FDA8B6" w14:textId="77777777" w:rsidR="00275566" w:rsidRPr="00FF2915" w:rsidRDefault="00FF2915">
      <w:pPr>
        <w:pStyle w:val="ListBullet"/>
        <w:rPr>
          <w:sz w:val="22"/>
          <w:szCs w:val="24"/>
        </w:rPr>
      </w:pPr>
      <w:r w:rsidRPr="00FF2915">
        <w:rPr>
          <w:b/>
          <w:sz w:val="22"/>
          <w:szCs w:val="24"/>
        </w:rPr>
        <w:t xml:space="preserve">Common metrics are tracked, but definitions vary. </w:t>
      </w:r>
      <w:r w:rsidRPr="00FF2915">
        <w:rPr>
          <w:sz w:val="22"/>
          <w:szCs w:val="24"/>
        </w:rPr>
        <w:t>Enrollment, progression, completion, and academic/program outcomes are generally tracked, but terms such as participant, progression, conversion, and retention require clearer common definitions.</w:t>
      </w:r>
    </w:p>
    <w:p w14:paraId="053E021F" w14:textId="77777777" w:rsidR="00275566" w:rsidRPr="00FF2915" w:rsidRDefault="00FF2915">
      <w:pPr>
        <w:pStyle w:val="ListBullet"/>
        <w:rPr>
          <w:sz w:val="22"/>
          <w:szCs w:val="24"/>
        </w:rPr>
      </w:pPr>
      <w:r w:rsidRPr="00FF2915">
        <w:rPr>
          <w:b/>
          <w:sz w:val="22"/>
          <w:szCs w:val="24"/>
        </w:rPr>
        <w:t xml:space="preserve">Employer retention and employer quality are emerging gaps. </w:t>
      </w:r>
      <w:r w:rsidRPr="00FF2915">
        <w:rPr>
          <w:sz w:val="22"/>
          <w:szCs w:val="24"/>
        </w:rPr>
        <w:t>Most institutions are not systematically tracking one-year post-conversion retention or employment retention two and five years post-apprenticeship; quality of employer partner is generally viewed as subjective, though at least one institution is beginning to develop this measure.</w:t>
      </w:r>
    </w:p>
    <w:p w14:paraId="36E414FC" w14:textId="77777777" w:rsidR="00275566" w:rsidRDefault="00FF2915" w:rsidP="00FF2915">
      <w:pPr>
        <w:pStyle w:val="ListBullet"/>
        <w:spacing w:after="0"/>
        <w:rPr>
          <w:sz w:val="22"/>
          <w:szCs w:val="24"/>
        </w:rPr>
      </w:pPr>
      <w:r w:rsidRPr="00FF2915">
        <w:rPr>
          <w:b/>
          <w:sz w:val="22"/>
          <w:szCs w:val="24"/>
        </w:rPr>
        <w:t xml:space="preserve">A stronger shared data framework is needed. </w:t>
      </w:r>
      <w:r w:rsidRPr="00FF2915">
        <w:rPr>
          <w:sz w:val="22"/>
          <w:szCs w:val="24"/>
        </w:rPr>
        <w:t>A common metric dictionary, reporting cadence, and institutional taxonomy would improve comparability across programs that begin at different times and vary from six months to more than three years.</w:t>
      </w:r>
    </w:p>
    <w:p w14:paraId="6AC815EA" w14:textId="77777777" w:rsidR="00FF2915" w:rsidRPr="00FF2915" w:rsidRDefault="00FF2915" w:rsidP="00FF2915">
      <w:pPr>
        <w:pStyle w:val="ListBullet"/>
        <w:numPr>
          <w:ilvl w:val="0"/>
          <w:numId w:val="0"/>
        </w:numPr>
        <w:spacing w:after="0"/>
        <w:ind w:left="360"/>
        <w:rPr>
          <w:sz w:val="22"/>
          <w:szCs w:val="24"/>
        </w:rPr>
      </w:pPr>
    </w:p>
    <w:p w14:paraId="6705EA73" w14:textId="77777777" w:rsidR="00275566" w:rsidRDefault="00FF2915" w:rsidP="00FF2915">
      <w:pPr>
        <w:pStyle w:val="Heading1"/>
        <w:spacing w:before="0"/>
      </w:pPr>
      <w:r>
        <w:t>Key Findings</w:t>
      </w:r>
    </w:p>
    <w:tbl>
      <w:tblPr>
        <w:tblStyle w:val="TableGrid"/>
        <w:tblW w:w="0" w:type="auto"/>
        <w:jc w:val="center"/>
        <w:tblLook w:val="04A0" w:firstRow="1" w:lastRow="0" w:firstColumn="1" w:lastColumn="0" w:noHBand="0" w:noVBand="1"/>
      </w:tblPr>
      <w:tblGrid>
        <w:gridCol w:w="2628"/>
        <w:gridCol w:w="7812"/>
      </w:tblGrid>
      <w:tr w:rsidR="00275566" w:rsidRPr="00FF2915" w14:paraId="690AE311" w14:textId="77777777" w:rsidTr="00FF2915">
        <w:trPr>
          <w:tblHeader/>
          <w:jc w:val="center"/>
        </w:trPr>
        <w:tc>
          <w:tcPr>
            <w:tcW w:w="2628" w:type="dxa"/>
            <w:shd w:val="clear" w:color="auto" w:fill="1F4E79"/>
          </w:tcPr>
          <w:p w14:paraId="690034FC" w14:textId="77777777" w:rsidR="00275566" w:rsidRPr="00FF2915" w:rsidRDefault="00FF2915">
            <w:pPr>
              <w:rPr>
                <w:sz w:val="22"/>
                <w:szCs w:val="28"/>
              </w:rPr>
            </w:pPr>
            <w:r w:rsidRPr="00FF2915">
              <w:rPr>
                <w:b/>
                <w:color w:val="FFFFFF"/>
                <w:sz w:val="22"/>
                <w:szCs w:val="28"/>
              </w:rPr>
              <w:t>Finding Area</w:t>
            </w:r>
          </w:p>
        </w:tc>
        <w:tc>
          <w:tcPr>
            <w:tcW w:w="7812" w:type="dxa"/>
            <w:shd w:val="clear" w:color="auto" w:fill="1F4E79"/>
          </w:tcPr>
          <w:p w14:paraId="47FDA760" w14:textId="77777777" w:rsidR="00275566" w:rsidRPr="00FF2915" w:rsidRDefault="00FF2915">
            <w:pPr>
              <w:rPr>
                <w:sz w:val="22"/>
                <w:szCs w:val="28"/>
              </w:rPr>
            </w:pPr>
            <w:r w:rsidRPr="00FF2915">
              <w:rPr>
                <w:b/>
                <w:color w:val="FFFFFF"/>
                <w:sz w:val="22"/>
                <w:szCs w:val="28"/>
              </w:rPr>
              <w:t>Summary</w:t>
            </w:r>
          </w:p>
        </w:tc>
      </w:tr>
      <w:tr w:rsidR="00275566" w:rsidRPr="00FF2915" w14:paraId="2BC44D9B" w14:textId="77777777" w:rsidTr="00FF2915">
        <w:trPr>
          <w:jc w:val="center"/>
        </w:trPr>
        <w:tc>
          <w:tcPr>
            <w:tcW w:w="2628" w:type="dxa"/>
          </w:tcPr>
          <w:p w14:paraId="61B5F12B" w14:textId="77777777" w:rsidR="00275566" w:rsidRPr="00FF2915" w:rsidRDefault="00FF2915">
            <w:pPr>
              <w:rPr>
                <w:sz w:val="22"/>
                <w:szCs w:val="28"/>
              </w:rPr>
            </w:pPr>
            <w:r w:rsidRPr="00FF2915">
              <w:rPr>
                <w:b/>
                <w:sz w:val="22"/>
                <w:szCs w:val="28"/>
              </w:rPr>
              <w:t>Reporting audiences</w:t>
            </w:r>
          </w:p>
        </w:tc>
        <w:tc>
          <w:tcPr>
            <w:tcW w:w="7812" w:type="dxa"/>
          </w:tcPr>
          <w:p w14:paraId="1BF1F157" w14:textId="77777777" w:rsidR="00275566" w:rsidRPr="00FF2915" w:rsidRDefault="00FF2915">
            <w:pPr>
              <w:rPr>
                <w:sz w:val="22"/>
                <w:szCs w:val="28"/>
              </w:rPr>
            </w:pPr>
            <w:r w:rsidRPr="00FF2915">
              <w:rPr>
                <w:sz w:val="22"/>
                <w:szCs w:val="28"/>
              </w:rPr>
              <w:t xml:space="preserve">Institutions report apprenticeship data to internal leadership groups, state bodies such as ICCB and Illinois workNet, </w:t>
            </w:r>
            <w:r w:rsidRPr="00FF2915">
              <w:rPr>
                <w:sz w:val="22"/>
                <w:szCs w:val="28"/>
              </w:rPr>
              <w:t>federal systems such as RAPIDS, and funding or workforce partners such as WIOA and EDA.</w:t>
            </w:r>
          </w:p>
        </w:tc>
      </w:tr>
      <w:tr w:rsidR="00275566" w:rsidRPr="00FF2915" w14:paraId="3134CF8B" w14:textId="77777777" w:rsidTr="00FF2915">
        <w:trPr>
          <w:jc w:val="center"/>
        </w:trPr>
        <w:tc>
          <w:tcPr>
            <w:tcW w:w="2628" w:type="dxa"/>
          </w:tcPr>
          <w:p w14:paraId="24E1F339" w14:textId="77777777" w:rsidR="00275566" w:rsidRPr="00FF2915" w:rsidRDefault="00FF2915">
            <w:pPr>
              <w:rPr>
                <w:sz w:val="22"/>
                <w:szCs w:val="28"/>
              </w:rPr>
            </w:pPr>
            <w:r w:rsidRPr="00FF2915">
              <w:rPr>
                <w:b/>
                <w:sz w:val="22"/>
                <w:szCs w:val="28"/>
              </w:rPr>
              <w:t>Tracked data elements</w:t>
            </w:r>
          </w:p>
        </w:tc>
        <w:tc>
          <w:tcPr>
            <w:tcW w:w="7812" w:type="dxa"/>
          </w:tcPr>
          <w:p w14:paraId="0B3CA93A" w14:textId="77777777" w:rsidR="00275566" w:rsidRPr="00FF2915" w:rsidRDefault="00FF2915">
            <w:pPr>
              <w:rPr>
                <w:sz w:val="22"/>
                <w:szCs w:val="28"/>
              </w:rPr>
            </w:pPr>
            <w:r w:rsidRPr="00FF2915">
              <w:rPr>
                <w:sz w:val="22"/>
                <w:szCs w:val="28"/>
              </w:rPr>
              <w:t>Most institutions track apprentice enrollment, progression, academic and program completion, certificate/credit status, and employer or program counts. Pre-apprenticeship tracking varies by institution.</w:t>
            </w:r>
          </w:p>
        </w:tc>
      </w:tr>
      <w:tr w:rsidR="00275566" w:rsidRPr="00FF2915" w14:paraId="3FE79B8E" w14:textId="77777777" w:rsidTr="00FF2915">
        <w:trPr>
          <w:jc w:val="center"/>
        </w:trPr>
        <w:tc>
          <w:tcPr>
            <w:tcW w:w="2628" w:type="dxa"/>
          </w:tcPr>
          <w:p w14:paraId="520AC72F" w14:textId="77777777" w:rsidR="00275566" w:rsidRPr="00FF2915" w:rsidRDefault="00FF2915">
            <w:pPr>
              <w:rPr>
                <w:sz w:val="22"/>
                <w:szCs w:val="28"/>
              </w:rPr>
            </w:pPr>
            <w:r w:rsidRPr="00FF2915">
              <w:rPr>
                <w:b/>
                <w:sz w:val="22"/>
                <w:szCs w:val="28"/>
              </w:rPr>
              <w:t>Systems and tools</w:t>
            </w:r>
          </w:p>
        </w:tc>
        <w:tc>
          <w:tcPr>
            <w:tcW w:w="7812" w:type="dxa"/>
          </w:tcPr>
          <w:p w14:paraId="02883F0E" w14:textId="77777777" w:rsidR="00275566" w:rsidRPr="00FF2915" w:rsidRDefault="00FF2915">
            <w:pPr>
              <w:rPr>
                <w:sz w:val="22"/>
                <w:szCs w:val="28"/>
              </w:rPr>
            </w:pPr>
            <w:r w:rsidRPr="00FF2915">
              <w:rPr>
                <w:sz w:val="22"/>
                <w:szCs w:val="28"/>
              </w:rPr>
              <w:t xml:space="preserve">Spreadsheets are the dominant tool. Other systems include Access, Navigate, </w:t>
            </w:r>
            <w:r w:rsidRPr="00FF2915">
              <w:rPr>
                <w:sz w:val="22"/>
                <w:szCs w:val="28"/>
              </w:rPr>
              <w:lastRenderedPageBreak/>
              <w:t>Colleague, RAPIDS, and planned Workday implementation.</w:t>
            </w:r>
          </w:p>
        </w:tc>
      </w:tr>
      <w:tr w:rsidR="00275566" w:rsidRPr="00FF2915" w14:paraId="1D66FB93" w14:textId="77777777" w:rsidTr="00FF2915">
        <w:trPr>
          <w:jc w:val="center"/>
        </w:trPr>
        <w:tc>
          <w:tcPr>
            <w:tcW w:w="2628" w:type="dxa"/>
          </w:tcPr>
          <w:p w14:paraId="33477B85" w14:textId="77777777" w:rsidR="00275566" w:rsidRPr="00FF2915" w:rsidRDefault="00FF2915">
            <w:pPr>
              <w:rPr>
                <w:sz w:val="22"/>
                <w:szCs w:val="28"/>
              </w:rPr>
            </w:pPr>
            <w:r w:rsidRPr="00FF2915">
              <w:rPr>
                <w:b/>
                <w:sz w:val="22"/>
                <w:szCs w:val="28"/>
              </w:rPr>
              <w:lastRenderedPageBreak/>
              <w:t>Program categories</w:t>
            </w:r>
          </w:p>
        </w:tc>
        <w:tc>
          <w:tcPr>
            <w:tcW w:w="7812" w:type="dxa"/>
          </w:tcPr>
          <w:p w14:paraId="585A5B22" w14:textId="77777777" w:rsidR="00275566" w:rsidRPr="00FF2915" w:rsidRDefault="00FF2915">
            <w:pPr>
              <w:rPr>
                <w:sz w:val="22"/>
                <w:szCs w:val="28"/>
              </w:rPr>
            </w:pPr>
            <w:r w:rsidRPr="00FF2915">
              <w:rPr>
                <w:sz w:val="22"/>
                <w:szCs w:val="28"/>
              </w:rPr>
              <w:t>Institutions generally report sponsored, managed, supported, and sourced apprenticeship activities in similar ways. Some institutions do not support non-registered programs, while ICC does track non-registered apprentices similarly to registered apprentices.</w:t>
            </w:r>
          </w:p>
        </w:tc>
      </w:tr>
      <w:tr w:rsidR="00275566" w:rsidRPr="00FF2915" w14:paraId="32260A5A" w14:textId="77777777" w:rsidTr="00FF2915">
        <w:trPr>
          <w:jc w:val="center"/>
        </w:trPr>
        <w:tc>
          <w:tcPr>
            <w:tcW w:w="2628" w:type="dxa"/>
          </w:tcPr>
          <w:p w14:paraId="12CDF02D" w14:textId="77777777" w:rsidR="00275566" w:rsidRPr="00FF2915" w:rsidRDefault="00FF2915">
            <w:pPr>
              <w:rPr>
                <w:sz w:val="22"/>
                <w:szCs w:val="28"/>
              </w:rPr>
            </w:pPr>
            <w:r w:rsidRPr="00FF2915">
              <w:rPr>
                <w:b/>
                <w:sz w:val="22"/>
                <w:szCs w:val="28"/>
              </w:rPr>
              <w:t>Calculation methods</w:t>
            </w:r>
          </w:p>
        </w:tc>
        <w:tc>
          <w:tcPr>
            <w:tcW w:w="7812" w:type="dxa"/>
          </w:tcPr>
          <w:p w14:paraId="0183A38D" w14:textId="77777777" w:rsidR="00275566" w:rsidRPr="00FF2915" w:rsidRDefault="00FF2915">
            <w:pPr>
              <w:rPr>
                <w:sz w:val="22"/>
                <w:szCs w:val="28"/>
              </w:rPr>
            </w:pPr>
            <w:r w:rsidRPr="00FF2915">
              <w:rPr>
                <w:sz w:val="22"/>
                <w:szCs w:val="28"/>
              </w:rPr>
              <w:t>Progression, completion, and conversion are generally calculated through working spreadsheets and updated as needed, monthly, by semester, or at fiscal-year end. Variation in program start dates and lengths complicates consistent calculation.</w:t>
            </w:r>
          </w:p>
        </w:tc>
      </w:tr>
      <w:tr w:rsidR="00275566" w:rsidRPr="00FF2915" w14:paraId="58F3E6B5" w14:textId="77777777" w:rsidTr="00FF2915">
        <w:trPr>
          <w:jc w:val="center"/>
        </w:trPr>
        <w:tc>
          <w:tcPr>
            <w:tcW w:w="2628" w:type="dxa"/>
          </w:tcPr>
          <w:p w14:paraId="7867E606" w14:textId="77777777" w:rsidR="00275566" w:rsidRPr="00FF2915" w:rsidRDefault="00FF2915">
            <w:pPr>
              <w:rPr>
                <w:sz w:val="22"/>
                <w:szCs w:val="28"/>
              </w:rPr>
            </w:pPr>
            <w:r w:rsidRPr="00FF2915">
              <w:rPr>
                <w:b/>
                <w:sz w:val="22"/>
                <w:szCs w:val="28"/>
              </w:rPr>
              <w:t>Persistent gaps</w:t>
            </w:r>
          </w:p>
        </w:tc>
        <w:tc>
          <w:tcPr>
            <w:tcW w:w="7812" w:type="dxa"/>
          </w:tcPr>
          <w:p w14:paraId="44F07CE3" w14:textId="77777777" w:rsidR="00275566" w:rsidRPr="00FF2915" w:rsidRDefault="00FF2915">
            <w:pPr>
              <w:rPr>
                <w:sz w:val="22"/>
                <w:szCs w:val="28"/>
              </w:rPr>
            </w:pPr>
            <w:r w:rsidRPr="00FF2915">
              <w:rPr>
                <w:sz w:val="22"/>
                <w:szCs w:val="28"/>
              </w:rPr>
              <w:t>Employer retention after completion or conversion, withdrawal tracking, employer quality, and longitudinal outcomes are not yet consistently measured across institutions.</w:t>
            </w:r>
          </w:p>
        </w:tc>
      </w:tr>
    </w:tbl>
    <w:p w14:paraId="1FE68A38" w14:textId="77777777" w:rsidR="00275566" w:rsidRDefault="00FF2915">
      <w:pPr>
        <w:pStyle w:val="Heading1"/>
      </w:pPr>
      <w:r>
        <w:t>Detailed Discussion Synthesis</w:t>
      </w:r>
    </w:p>
    <w:p w14:paraId="6A513F5D" w14:textId="77777777" w:rsidR="00275566" w:rsidRDefault="00FF2915" w:rsidP="00FF2915">
      <w:pPr>
        <w:pStyle w:val="Heading2"/>
        <w:spacing w:before="0"/>
      </w:pPr>
      <w:r>
        <w:t>1. Data Sharing and Reporting Bodies</w:t>
      </w:r>
    </w:p>
    <w:p w14:paraId="49F8B564" w14:textId="77777777" w:rsidR="00275566" w:rsidRPr="00FF2915" w:rsidRDefault="00FF2915">
      <w:pPr>
        <w:pStyle w:val="ListBullet"/>
        <w:rPr>
          <w:sz w:val="22"/>
          <w:szCs w:val="24"/>
        </w:rPr>
      </w:pPr>
      <w:r w:rsidRPr="00FF2915">
        <w:rPr>
          <w:sz w:val="22"/>
          <w:szCs w:val="24"/>
        </w:rPr>
        <w:t xml:space="preserve">Internal </w:t>
      </w:r>
      <w:r w:rsidRPr="00FF2915">
        <w:rPr>
          <w:sz w:val="22"/>
          <w:szCs w:val="24"/>
        </w:rPr>
        <w:t>reporting includes deans, cabinet members, monthly leadership reports, institutional leadership teams, and enrollment teams.</w:t>
      </w:r>
    </w:p>
    <w:p w14:paraId="655398AA" w14:textId="77777777" w:rsidR="00275566" w:rsidRPr="00FF2915" w:rsidRDefault="00FF2915">
      <w:pPr>
        <w:pStyle w:val="ListBullet"/>
        <w:rPr>
          <w:sz w:val="22"/>
          <w:szCs w:val="24"/>
        </w:rPr>
      </w:pPr>
      <w:r w:rsidRPr="00FF2915">
        <w:rPr>
          <w:sz w:val="22"/>
          <w:szCs w:val="24"/>
        </w:rPr>
        <w:t>State reporting includes ICCB required reporting, cohort reporting, ICCB apprenticeship surveys, and Illinois workNet.</w:t>
      </w:r>
    </w:p>
    <w:p w14:paraId="53149BB5" w14:textId="77777777" w:rsidR="00275566" w:rsidRPr="00FF2915" w:rsidRDefault="00FF2915">
      <w:pPr>
        <w:pStyle w:val="ListBullet"/>
        <w:rPr>
          <w:sz w:val="22"/>
          <w:szCs w:val="24"/>
        </w:rPr>
      </w:pPr>
      <w:r w:rsidRPr="00FF2915">
        <w:rPr>
          <w:sz w:val="22"/>
          <w:szCs w:val="24"/>
        </w:rPr>
        <w:t>Federal and grant-related reporting includes RAPIDS, EDA grant reporting, WIOA reporting, and WIOA partner collaboration using outcome and success-measure data.</w:t>
      </w:r>
    </w:p>
    <w:p w14:paraId="58A64273" w14:textId="77777777" w:rsidR="00275566" w:rsidRPr="00FF2915" w:rsidRDefault="00FF2915">
      <w:pPr>
        <w:pStyle w:val="ListBullet"/>
        <w:rPr>
          <w:sz w:val="22"/>
          <w:szCs w:val="24"/>
        </w:rPr>
      </w:pPr>
      <w:r w:rsidRPr="00FF2915">
        <w:rPr>
          <w:sz w:val="22"/>
          <w:szCs w:val="24"/>
        </w:rPr>
        <w:t>One institution uses Navigate internally and noted a transition scheduled for August 2026.</w:t>
      </w:r>
    </w:p>
    <w:p w14:paraId="7D500B7E" w14:textId="77777777" w:rsidR="00275566" w:rsidRDefault="00FF2915">
      <w:pPr>
        <w:pStyle w:val="Heading2"/>
      </w:pPr>
      <w:r>
        <w:t>2. Data Collected, Tracked, Measured, and Reported</w:t>
      </w:r>
    </w:p>
    <w:p w14:paraId="02D5D930" w14:textId="77777777" w:rsidR="00275566" w:rsidRPr="00FF2915" w:rsidRDefault="00FF2915">
      <w:pPr>
        <w:rPr>
          <w:sz w:val="22"/>
          <w:szCs w:val="24"/>
        </w:rPr>
      </w:pPr>
      <w:r w:rsidRPr="00FF2915">
        <w:rPr>
          <w:sz w:val="22"/>
          <w:szCs w:val="24"/>
        </w:rPr>
        <w:t>The discussion identified a shared core of apprenticeship data elements, along with several measures under consideration for a more mature dashboard or reporting model.</w:t>
      </w:r>
    </w:p>
    <w:tbl>
      <w:tblPr>
        <w:tblStyle w:val="TableGrid"/>
        <w:tblW w:w="0" w:type="auto"/>
        <w:tblLook w:val="04A0" w:firstRow="1" w:lastRow="0" w:firstColumn="1" w:lastColumn="0" w:noHBand="0" w:noVBand="1"/>
      </w:tblPr>
      <w:tblGrid>
        <w:gridCol w:w="3888"/>
        <w:gridCol w:w="6336"/>
      </w:tblGrid>
      <w:tr w:rsidR="00275566" w:rsidRPr="00FF2915" w14:paraId="3971DC4A" w14:textId="77777777" w:rsidTr="00FF2915">
        <w:trPr>
          <w:tblHeader/>
        </w:trPr>
        <w:tc>
          <w:tcPr>
            <w:tcW w:w="3888" w:type="dxa"/>
            <w:shd w:val="clear" w:color="auto" w:fill="1F4E79"/>
          </w:tcPr>
          <w:p w14:paraId="60F9B604" w14:textId="77777777" w:rsidR="00275566" w:rsidRPr="00FF2915" w:rsidRDefault="00FF2915">
            <w:pPr>
              <w:rPr>
                <w:sz w:val="22"/>
                <w:szCs w:val="28"/>
              </w:rPr>
            </w:pPr>
            <w:r w:rsidRPr="00FF2915">
              <w:rPr>
                <w:b/>
                <w:color w:val="FFFFFF"/>
                <w:sz w:val="22"/>
                <w:szCs w:val="28"/>
              </w:rPr>
              <w:t>Metric Category</w:t>
            </w:r>
          </w:p>
        </w:tc>
        <w:tc>
          <w:tcPr>
            <w:tcW w:w="6336" w:type="dxa"/>
            <w:shd w:val="clear" w:color="auto" w:fill="1F4E79"/>
          </w:tcPr>
          <w:p w14:paraId="66C89E68" w14:textId="77777777" w:rsidR="00275566" w:rsidRPr="00FF2915" w:rsidRDefault="00FF2915">
            <w:pPr>
              <w:rPr>
                <w:sz w:val="22"/>
                <w:szCs w:val="28"/>
              </w:rPr>
            </w:pPr>
            <w:r w:rsidRPr="00FF2915">
              <w:rPr>
                <w:b/>
                <w:color w:val="FFFFFF"/>
                <w:sz w:val="22"/>
                <w:szCs w:val="28"/>
              </w:rPr>
              <w:t>Examples Discussed</w:t>
            </w:r>
          </w:p>
        </w:tc>
      </w:tr>
      <w:tr w:rsidR="00275566" w:rsidRPr="00FF2915" w14:paraId="0FDF81C1" w14:textId="77777777" w:rsidTr="00FF2915">
        <w:tc>
          <w:tcPr>
            <w:tcW w:w="3888" w:type="dxa"/>
          </w:tcPr>
          <w:p w14:paraId="601CDAEC" w14:textId="77777777" w:rsidR="00275566" w:rsidRPr="00FF2915" w:rsidRDefault="00FF2915">
            <w:pPr>
              <w:rPr>
                <w:sz w:val="22"/>
                <w:szCs w:val="28"/>
              </w:rPr>
            </w:pPr>
            <w:r w:rsidRPr="00FF2915">
              <w:rPr>
                <w:b/>
                <w:sz w:val="22"/>
                <w:szCs w:val="28"/>
              </w:rPr>
              <w:t>Participation and pipeline</w:t>
            </w:r>
          </w:p>
        </w:tc>
        <w:tc>
          <w:tcPr>
            <w:tcW w:w="6336" w:type="dxa"/>
          </w:tcPr>
          <w:p w14:paraId="4E0779FB" w14:textId="77777777" w:rsidR="00275566" w:rsidRPr="00FF2915" w:rsidRDefault="00FF2915">
            <w:pPr>
              <w:rPr>
                <w:sz w:val="22"/>
                <w:szCs w:val="28"/>
              </w:rPr>
            </w:pPr>
            <w:r w:rsidRPr="00FF2915">
              <w:rPr>
                <w:sz w:val="22"/>
                <w:szCs w:val="28"/>
              </w:rPr>
              <w:t>Prospective apprentices, participants where defined, pre-apprentice enrollment, pre-apprentice-to-apprentice progression, and new apprentice starts.</w:t>
            </w:r>
          </w:p>
        </w:tc>
      </w:tr>
      <w:tr w:rsidR="00275566" w:rsidRPr="00FF2915" w14:paraId="3F53E285" w14:textId="77777777" w:rsidTr="00FF2915">
        <w:tc>
          <w:tcPr>
            <w:tcW w:w="3888" w:type="dxa"/>
          </w:tcPr>
          <w:p w14:paraId="0C818E5A" w14:textId="77777777" w:rsidR="00275566" w:rsidRPr="00FF2915" w:rsidRDefault="00FF2915">
            <w:pPr>
              <w:rPr>
                <w:sz w:val="22"/>
                <w:szCs w:val="28"/>
              </w:rPr>
            </w:pPr>
            <w:r w:rsidRPr="00FF2915">
              <w:rPr>
                <w:b/>
                <w:sz w:val="22"/>
                <w:szCs w:val="28"/>
              </w:rPr>
              <w:t>Enrollment and activity</w:t>
            </w:r>
          </w:p>
        </w:tc>
        <w:tc>
          <w:tcPr>
            <w:tcW w:w="6336" w:type="dxa"/>
          </w:tcPr>
          <w:p w14:paraId="613EBFE0" w14:textId="77777777" w:rsidR="00275566" w:rsidRPr="00FF2915" w:rsidRDefault="00FF2915">
            <w:pPr>
              <w:rPr>
                <w:sz w:val="22"/>
                <w:szCs w:val="28"/>
              </w:rPr>
            </w:pPr>
            <w:r w:rsidRPr="00FF2915">
              <w:rPr>
                <w:sz w:val="22"/>
                <w:szCs w:val="28"/>
              </w:rPr>
              <w:t xml:space="preserve">Apprentice enrollment, active apprentice headcount in RTI and/or </w:t>
            </w:r>
            <w:r w:rsidRPr="00FF2915">
              <w:rPr>
                <w:sz w:val="22"/>
                <w:szCs w:val="28"/>
              </w:rPr>
              <w:t>OJT, industry-sector counts, and census-day headcount by term.</w:t>
            </w:r>
          </w:p>
        </w:tc>
      </w:tr>
      <w:tr w:rsidR="00275566" w:rsidRPr="00FF2915" w14:paraId="150921A1" w14:textId="77777777" w:rsidTr="00FF2915">
        <w:tc>
          <w:tcPr>
            <w:tcW w:w="3888" w:type="dxa"/>
          </w:tcPr>
          <w:p w14:paraId="1025E29C" w14:textId="77777777" w:rsidR="00275566" w:rsidRPr="00FF2915" w:rsidRDefault="00FF2915">
            <w:pPr>
              <w:rPr>
                <w:sz w:val="22"/>
                <w:szCs w:val="28"/>
              </w:rPr>
            </w:pPr>
            <w:r w:rsidRPr="00FF2915">
              <w:rPr>
                <w:b/>
                <w:sz w:val="22"/>
                <w:szCs w:val="28"/>
              </w:rPr>
              <w:t>Progression and persistence</w:t>
            </w:r>
          </w:p>
        </w:tc>
        <w:tc>
          <w:tcPr>
            <w:tcW w:w="6336" w:type="dxa"/>
          </w:tcPr>
          <w:p w14:paraId="1873296E" w14:textId="77777777" w:rsidR="00275566" w:rsidRPr="00FF2915" w:rsidRDefault="00FF2915">
            <w:pPr>
              <w:rPr>
                <w:sz w:val="22"/>
                <w:szCs w:val="28"/>
              </w:rPr>
            </w:pPr>
            <w:r w:rsidRPr="00FF2915">
              <w:rPr>
                <w:sz w:val="22"/>
                <w:szCs w:val="28"/>
              </w:rPr>
              <w:t>Upcoming registrations, term-to-term persistence, progression milestones, average GPA, RTI course success, and D/F/W rates.</w:t>
            </w:r>
          </w:p>
        </w:tc>
      </w:tr>
      <w:tr w:rsidR="00275566" w:rsidRPr="00FF2915" w14:paraId="3419457A" w14:textId="77777777" w:rsidTr="00FF2915">
        <w:tc>
          <w:tcPr>
            <w:tcW w:w="3888" w:type="dxa"/>
          </w:tcPr>
          <w:p w14:paraId="1A5BC79A" w14:textId="77777777" w:rsidR="00275566" w:rsidRPr="00FF2915" w:rsidRDefault="00FF2915">
            <w:pPr>
              <w:rPr>
                <w:sz w:val="22"/>
                <w:szCs w:val="28"/>
              </w:rPr>
            </w:pPr>
            <w:r w:rsidRPr="00FF2915">
              <w:rPr>
                <w:b/>
                <w:sz w:val="22"/>
                <w:szCs w:val="28"/>
              </w:rPr>
              <w:t xml:space="preserve">Completion and academic </w:t>
            </w:r>
            <w:r w:rsidRPr="00FF2915">
              <w:rPr>
                <w:b/>
                <w:sz w:val="22"/>
                <w:szCs w:val="28"/>
              </w:rPr>
              <w:t>outcomes</w:t>
            </w:r>
          </w:p>
        </w:tc>
        <w:tc>
          <w:tcPr>
            <w:tcW w:w="6336" w:type="dxa"/>
          </w:tcPr>
          <w:p w14:paraId="4E051591" w14:textId="77777777" w:rsidR="00275566" w:rsidRPr="00FF2915" w:rsidRDefault="00FF2915">
            <w:pPr>
              <w:rPr>
                <w:sz w:val="22"/>
                <w:szCs w:val="28"/>
              </w:rPr>
            </w:pPr>
            <w:r w:rsidRPr="00FF2915">
              <w:rPr>
                <w:sz w:val="22"/>
                <w:szCs w:val="28"/>
              </w:rPr>
              <w:t>Certificate or degree completion, number of credentials earned, apprenticeship completion including RTI and OJT, completion rates, and completion/cancellation status.</w:t>
            </w:r>
          </w:p>
        </w:tc>
      </w:tr>
      <w:tr w:rsidR="00275566" w:rsidRPr="00FF2915" w14:paraId="16C5225F" w14:textId="77777777" w:rsidTr="00FF2915">
        <w:tc>
          <w:tcPr>
            <w:tcW w:w="3888" w:type="dxa"/>
          </w:tcPr>
          <w:p w14:paraId="488B1F14" w14:textId="77777777" w:rsidR="00275566" w:rsidRPr="00FF2915" w:rsidRDefault="00FF2915">
            <w:pPr>
              <w:rPr>
                <w:sz w:val="22"/>
                <w:szCs w:val="28"/>
              </w:rPr>
            </w:pPr>
            <w:r w:rsidRPr="00FF2915">
              <w:rPr>
                <w:b/>
                <w:sz w:val="22"/>
                <w:szCs w:val="28"/>
              </w:rPr>
              <w:t>Employment and conversion</w:t>
            </w:r>
          </w:p>
        </w:tc>
        <w:tc>
          <w:tcPr>
            <w:tcW w:w="6336" w:type="dxa"/>
          </w:tcPr>
          <w:p w14:paraId="1C34203A" w14:textId="77777777" w:rsidR="00275566" w:rsidRPr="00FF2915" w:rsidRDefault="00FF2915">
            <w:pPr>
              <w:rPr>
                <w:sz w:val="22"/>
                <w:szCs w:val="28"/>
              </w:rPr>
            </w:pPr>
            <w:r w:rsidRPr="00FF2915">
              <w:rPr>
                <w:sz w:val="22"/>
                <w:szCs w:val="28"/>
              </w:rPr>
              <w:t>Offers to full-time employment, conversion to employer, wage changes, apprentice wages earned, and employer-paid tuition, fees, and administrative fees.</w:t>
            </w:r>
          </w:p>
        </w:tc>
      </w:tr>
      <w:tr w:rsidR="00275566" w:rsidRPr="00FF2915" w14:paraId="239C630A" w14:textId="77777777" w:rsidTr="00FF2915">
        <w:tc>
          <w:tcPr>
            <w:tcW w:w="3888" w:type="dxa"/>
          </w:tcPr>
          <w:p w14:paraId="23C44D10" w14:textId="77777777" w:rsidR="00275566" w:rsidRPr="00FF2915" w:rsidRDefault="00FF2915">
            <w:pPr>
              <w:rPr>
                <w:sz w:val="22"/>
                <w:szCs w:val="28"/>
              </w:rPr>
            </w:pPr>
            <w:r w:rsidRPr="00FF2915">
              <w:rPr>
                <w:b/>
                <w:sz w:val="22"/>
                <w:szCs w:val="28"/>
              </w:rPr>
              <w:t>Employer and program value</w:t>
            </w:r>
          </w:p>
        </w:tc>
        <w:tc>
          <w:tcPr>
            <w:tcW w:w="6336" w:type="dxa"/>
          </w:tcPr>
          <w:p w14:paraId="3CCD1B48" w14:textId="77777777" w:rsidR="00275566" w:rsidRPr="00FF2915" w:rsidRDefault="00FF2915">
            <w:pPr>
              <w:rPr>
                <w:sz w:val="22"/>
                <w:szCs w:val="28"/>
              </w:rPr>
            </w:pPr>
            <w:r w:rsidRPr="00FF2915">
              <w:rPr>
                <w:sz w:val="22"/>
                <w:szCs w:val="28"/>
              </w:rPr>
              <w:t>Participating employers, new employer starts, active programs over time, employer satisfaction, employer-validated competency mastery, and emerging employer-quality measures.</w:t>
            </w:r>
          </w:p>
        </w:tc>
      </w:tr>
      <w:tr w:rsidR="00275566" w:rsidRPr="00FF2915" w14:paraId="3FC0F764" w14:textId="77777777" w:rsidTr="00FF2915">
        <w:tc>
          <w:tcPr>
            <w:tcW w:w="3888" w:type="dxa"/>
          </w:tcPr>
          <w:p w14:paraId="41902DDB" w14:textId="77777777" w:rsidR="00275566" w:rsidRPr="00FF2915" w:rsidRDefault="00FF2915">
            <w:pPr>
              <w:rPr>
                <w:sz w:val="22"/>
                <w:szCs w:val="28"/>
              </w:rPr>
            </w:pPr>
            <w:r w:rsidRPr="00FF2915">
              <w:rPr>
                <w:b/>
                <w:sz w:val="22"/>
                <w:szCs w:val="28"/>
              </w:rPr>
              <w:t>Capacity and operations</w:t>
            </w:r>
          </w:p>
        </w:tc>
        <w:tc>
          <w:tcPr>
            <w:tcW w:w="6336" w:type="dxa"/>
          </w:tcPr>
          <w:p w14:paraId="533BFF60" w14:textId="77777777" w:rsidR="00275566" w:rsidRPr="00FF2915" w:rsidRDefault="00FF2915">
            <w:pPr>
              <w:rPr>
                <w:sz w:val="22"/>
                <w:szCs w:val="28"/>
              </w:rPr>
            </w:pPr>
            <w:r w:rsidRPr="00FF2915">
              <w:rPr>
                <w:sz w:val="22"/>
                <w:szCs w:val="28"/>
              </w:rPr>
              <w:t>Seat utilization in priority courses; automation of billing or administrative-fee steps as an annual success marker.</w:t>
            </w:r>
          </w:p>
        </w:tc>
      </w:tr>
    </w:tbl>
    <w:p w14:paraId="68DF9848" w14:textId="77777777" w:rsidR="00275566" w:rsidRPr="00FF2915" w:rsidRDefault="00FF2915">
      <w:pPr>
        <w:rPr>
          <w:sz w:val="22"/>
          <w:szCs w:val="24"/>
        </w:rPr>
      </w:pPr>
      <w:r w:rsidRPr="00FF2915">
        <w:rPr>
          <w:b/>
          <w:sz w:val="22"/>
          <w:szCs w:val="24"/>
        </w:rPr>
        <w:lastRenderedPageBreak/>
        <w:t xml:space="preserve">Notable gap: </w:t>
      </w:r>
      <w:r w:rsidRPr="00FF2915">
        <w:rPr>
          <w:sz w:val="22"/>
          <w:szCs w:val="24"/>
        </w:rPr>
        <w:t>Most institutions are not yet systematically tracking retention at the employer site one year after conversion. Some institutions track retention anecdotally, while longer-term employment retention at two and five years post-apprenticeship was identified as a potential future measure.</w:t>
      </w:r>
    </w:p>
    <w:p w14:paraId="64E20401" w14:textId="77777777" w:rsidR="00275566" w:rsidRDefault="00FF2915">
      <w:pPr>
        <w:pStyle w:val="Heading2"/>
      </w:pPr>
      <w:r>
        <w:t>3. Reporting Levels and Program Categories</w:t>
      </w:r>
    </w:p>
    <w:p w14:paraId="4DC0923F" w14:textId="77777777" w:rsidR="00275566" w:rsidRPr="00FF2915" w:rsidRDefault="00FF2915">
      <w:pPr>
        <w:pStyle w:val="ListBullet"/>
        <w:rPr>
          <w:sz w:val="22"/>
          <w:szCs w:val="24"/>
        </w:rPr>
      </w:pPr>
      <w:r w:rsidRPr="00FF2915">
        <w:rPr>
          <w:sz w:val="22"/>
          <w:szCs w:val="24"/>
        </w:rPr>
        <w:t>Lake Land and Parkland reported that they do not provide support to non-registered programs and are not currently engaged in non-registered apprenticeships.</w:t>
      </w:r>
    </w:p>
    <w:p w14:paraId="6FB76CB3" w14:textId="77777777" w:rsidR="00275566" w:rsidRPr="00FF2915" w:rsidRDefault="00FF2915">
      <w:pPr>
        <w:pStyle w:val="ListBullet"/>
        <w:rPr>
          <w:sz w:val="22"/>
          <w:szCs w:val="24"/>
        </w:rPr>
      </w:pPr>
      <w:r w:rsidRPr="00FF2915">
        <w:rPr>
          <w:sz w:val="22"/>
          <w:szCs w:val="24"/>
        </w:rPr>
        <w:t>ICC reported that it does have non-registered apprentices and tracks/treats them similarly to registered programs.</w:t>
      </w:r>
    </w:p>
    <w:p w14:paraId="6AD20BDB" w14:textId="77777777" w:rsidR="00275566" w:rsidRPr="00FF2915" w:rsidRDefault="00FF2915">
      <w:pPr>
        <w:pStyle w:val="ListBullet"/>
        <w:rPr>
          <w:sz w:val="22"/>
          <w:szCs w:val="24"/>
        </w:rPr>
      </w:pPr>
      <w:r w:rsidRPr="00FF2915">
        <w:rPr>
          <w:sz w:val="22"/>
          <w:szCs w:val="24"/>
        </w:rPr>
        <w:t>Participating institutions indicated that sponsored, supported, and sourced programs are generally collected, tracked, measured, and reported in the same way.</w:t>
      </w:r>
    </w:p>
    <w:p w14:paraId="171DC214" w14:textId="77777777" w:rsidR="00275566" w:rsidRPr="00FF2915" w:rsidRDefault="00FF2915">
      <w:pPr>
        <w:pStyle w:val="ListBullet"/>
        <w:rPr>
          <w:sz w:val="22"/>
          <w:szCs w:val="24"/>
        </w:rPr>
      </w:pPr>
      <w:r w:rsidRPr="00FF2915">
        <w:rPr>
          <w:sz w:val="22"/>
          <w:szCs w:val="24"/>
        </w:rPr>
        <w:t xml:space="preserve">A more explicit taxonomy would help distinguish </w:t>
      </w:r>
      <w:r w:rsidRPr="00FF2915">
        <w:rPr>
          <w:sz w:val="22"/>
          <w:szCs w:val="24"/>
        </w:rPr>
        <w:t>programs the institution sponsors and manages, manages but does not sponsor, supports through related instruction or partnership, or only sources for employer-led programs.</w:t>
      </w:r>
    </w:p>
    <w:p w14:paraId="6BAB33EF" w14:textId="77777777" w:rsidR="00275566" w:rsidRDefault="00FF2915">
      <w:pPr>
        <w:pStyle w:val="Heading2"/>
      </w:pPr>
      <w:r>
        <w:t>4. Programs and Employer Partners</w:t>
      </w:r>
    </w:p>
    <w:p w14:paraId="21F43A48" w14:textId="77777777" w:rsidR="00275566" w:rsidRPr="00FF2915" w:rsidRDefault="00FF2915">
      <w:pPr>
        <w:pStyle w:val="ListBullet"/>
        <w:rPr>
          <w:sz w:val="22"/>
          <w:szCs w:val="24"/>
        </w:rPr>
      </w:pPr>
      <w:r w:rsidRPr="00FF2915">
        <w:rPr>
          <w:sz w:val="22"/>
          <w:szCs w:val="24"/>
        </w:rPr>
        <w:t>All institutions collect, track, measure, and report the number of programs and employer partners, both current and over time.</w:t>
      </w:r>
    </w:p>
    <w:p w14:paraId="316CA9B5" w14:textId="77777777" w:rsidR="00275566" w:rsidRPr="00FF2915" w:rsidRDefault="00FF2915">
      <w:pPr>
        <w:pStyle w:val="ListBullet"/>
        <w:rPr>
          <w:sz w:val="22"/>
          <w:szCs w:val="24"/>
        </w:rPr>
      </w:pPr>
      <w:r w:rsidRPr="00FF2915">
        <w:rPr>
          <w:sz w:val="22"/>
          <w:szCs w:val="24"/>
        </w:rPr>
        <w:t>Employer quality is not yet consistently measured because it is viewed as subjective; however, one institution reported that it is pioneering development of an employer-partner quality tracking approach.</w:t>
      </w:r>
    </w:p>
    <w:p w14:paraId="30B75E85" w14:textId="77777777" w:rsidR="00275566" w:rsidRPr="00FF2915" w:rsidRDefault="00FF2915">
      <w:pPr>
        <w:pStyle w:val="ListBullet"/>
        <w:rPr>
          <w:sz w:val="22"/>
          <w:szCs w:val="24"/>
        </w:rPr>
      </w:pPr>
      <w:r w:rsidRPr="00FF2915">
        <w:rPr>
          <w:sz w:val="22"/>
          <w:szCs w:val="24"/>
        </w:rPr>
        <w:t>Potential employer-value measures discussed include active participating employers, new employer starts, employer satisfaction, competency validation, wages earned, and employer-paid tuition, fees, and administrative fees.</w:t>
      </w:r>
    </w:p>
    <w:p w14:paraId="05B1DF06" w14:textId="77777777" w:rsidR="00275566" w:rsidRDefault="00FF2915">
      <w:pPr>
        <w:pStyle w:val="Heading2"/>
      </w:pPr>
      <w:r>
        <w:t>5. Tracking Methods and Calculation Practices</w:t>
      </w:r>
    </w:p>
    <w:p w14:paraId="13C5A054" w14:textId="77777777" w:rsidR="00275566" w:rsidRPr="00FF2915" w:rsidRDefault="00FF2915">
      <w:pPr>
        <w:pStyle w:val="ListBullet"/>
        <w:rPr>
          <w:sz w:val="22"/>
          <w:szCs w:val="24"/>
        </w:rPr>
      </w:pPr>
      <w:r w:rsidRPr="00FF2915">
        <w:rPr>
          <w:sz w:val="22"/>
          <w:szCs w:val="24"/>
        </w:rPr>
        <w:t>Tracking documents are generally treated as working documents and updated as needed or when changes occur.</w:t>
      </w:r>
    </w:p>
    <w:p w14:paraId="1FA4845E" w14:textId="77777777" w:rsidR="00275566" w:rsidRPr="00FF2915" w:rsidRDefault="00FF2915">
      <w:pPr>
        <w:pStyle w:val="ListBullet"/>
        <w:rPr>
          <w:sz w:val="22"/>
          <w:szCs w:val="24"/>
        </w:rPr>
      </w:pPr>
      <w:r w:rsidRPr="00FF2915">
        <w:rPr>
          <w:sz w:val="22"/>
          <w:szCs w:val="24"/>
        </w:rPr>
        <w:t>Simple calculations in Excel are commonly used to calculate progression, completion, and conversion.</w:t>
      </w:r>
    </w:p>
    <w:p w14:paraId="0576D96D" w14:textId="77777777" w:rsidR="00275566" w:rsidRPr="00FF2915" w:rsidRDefault="00FF2915">
      <w:pPr>
        <w:pStyle w:val="ListBullet"/>
        <w:rPr>
          <w:sz w:val="22"/>
          <w:szCs w:val="24"/>
        </w:rPr>
      </w:pPr>
      <w:r w:rsidRPr="00FF2915">
        <w:rPr>
          <w:sz w:val="22"/>
          <w:szCs w:val="24"/>
        </w:rPr>
        <w:t>Reporting cadence varies: some institutions report monthly, while others report by semester or at the end of the fiscal year.</w:t>
      </w:r>
    </w:p>
    <w:p w14:paraId="3B7FE4D1" w14:textId="77777777" w:rsidR="00275566" w:rsidRPr="00FF2915" w:rsidRDefault="00FF2915">
      <w:pPr>
        <w:pStyle w:val="ListBullet"/>
        <w:rPr>
          <w:sz w:val="22"/>
          <w:szCs w:val="24"/>
        </w:rPr>
      </w:pPr>
      <w:r w:rsidRPr="00FF2915">
        <w:rPr>
          <w:sz w:val="22"/>
          <w:szCs w:val="24"/>
        </w:rPr>
        <w:t>Programs with varied start dates and lengths create challenges for consistent calculation, especially for completion rates and lagging indicators.</w:t>
      </w:r>
    </w:p>
    <w:p w14:paraId="347A04F0" w14:textId="77777777" w:rsidR="00275566" w:rsidRPr="00FF2915" w:rsidRDefault="00FF2915">
      <w:pPr>
        <w:pStyle w:val="ListBullet"/>
        <w:rPr>
          <w:sz w:val="22"/>
          <w:szCs w:val="24"/>
        </w:rPr>
      </w:pPr>
      <w:r w:rsidRPr="00FF2915">
        <w:rPr>
          <w:sz w:val="22"/>
          <w:szCs w:val="24"/>
        </w:rPr>
        <w:t>One proposed approach was to calculate apprenticeship program completion rates as lagging indicators from rolling cohorts whose expected completion windows have closed.</w:t>
      </w:r>
    </w:p>
    <w:p w14:paraId="481C2AF4" w14:textId="77777777" w:rsidR="00275566" w:rsidRDefault="00FF2915">
      <w:pPr>
        <w:pStyle w:val="Heading2"/>
      </w:pPr>
      <w:r>
        <w:t>6. Systems in Use</w:t>
      </w:r>
    </w:p>
    <w:p w14:paraId="7BA89C38" w14:textId="77777777" w:rsidR="00275566" w:rsidRPr="00FF2915" w:rsidRDefault="00FF2915">
      <w:pPr>
        <w:pStyle w:val="ListBullet"/>
        <w:rPr>
          <w:sz w:val="22"/>
          <w:szCs w:val="24"/>
        </w:rPr>
      </w:pPr>
      <w:r w:rsidRPr="00FF2915">
        <w:rPr>
          <w:sz w:val="22"/>
          <w:szCs w:val="24"/>
        </w:rPr>
        <w:t>Spreadsheets are the most common tracking mechanism across participating institutions.</w:t>
      </w:r>
    </w:p>
    <w:p w14:paraId="0E7DF86C" w14:textId="77777777" w:rsidR="00275566" w:rsidRPr="00FF2915" w:rsidRDefault="00FF2915">
      <w:pPr>
        <w:pStyle w:val="ListBullet"/>
        <w:rPr>
          <w:sz w:val="22"/>
          <w:szCs w:val="24"/>
        </w:rPr>
      </w:pPr>
      <w:r w:rsidRPr="00FF2915">
        <w:rPr>
          <w:sz w:val="22"/>
          <w:szCs w:val="24"/>
        </w:rPr>
        <w:t>Some institutions use Access, RAPIDS, Navigate, and tagging/coding in systems such as Navigate and Colleague.</w:t>
      </w:r>
    </w:p>
    <w:p w14:paraId="11B00641" w14:textId="77777777" w:rsidR="00275566" w:rsidRPr="00FF2915" w:rsidRDefault="00FF2915">
      <w:pPr>
        <w:pStyle w:val="ListBullet"/>
        <w:rPr>
          <w:sz w:val="22"/>
          <w:szCs w:val="24"/>
        </w:rPr>
      </w:pPr>
      <w:r w:rsidRPr="00FF2915">
        <w:rPr>
          <w:sz w:val="22"/>
          <w:szCs w:val="24"/>
        </w:rPr>
        <w:t>ICC is transitioning to Workday, which may create opportunities to improve data structure, reduce duplication, and standardize reporting workflows.</w:t>
      </w:r>
    </w:p>
    <w:p w14:paraId="28EC95E0" w14:textId="77777777" w:rsidR="00275566" w:rsidRDefault="00FF2915" w:rsidP="00FF2915">
      <w:pPr>
        <w:pStyle w:val="ListBullet"/>
        <w:spacing w:after="0"/>
        <w:rPr>
          <w:sz w:val="22"/>
          <w:szCs w:val="24"/>
        </w:rPr>
      </w:pPr>
      <w:r w:rsidRPr="00FF2915">
        <w:rPr>
          <w:sz w:val="22"/>
          <w:szCs w:val="24"/>
        </w:rPr>
        <w:t>External platforms discussed as examples included WorkKeys, BuildWithin, GoSprout, Apprenti, and Symplicity, though the notes did not indicate broad current adoption of these tools.</w:t>
      </w:r>
    </w:p>
    <w:p w14:paraId="7CF5F0BB" w14:textId="77777777" w:rsidR="00FF2915" w:rsidRPr="00FF2915" w:rsidRDefault="00FF2915" w:rsidP="00FF2915">
      <w:pPr>
        <w:pStyle w:val="ListBullet"/>
        <w:numPr>
          <w:ilvl w:val="0"/>
          <w:numId w:val="0"/>
        </w:numPr>
        <w:spacing w:after="0"/>
        <w:ind w:left="360"/>
        <w:rPr>
          <w:sz w:val="22"/>
          <w:szCs w:val="24"/>
        </w:rPr>
      </w:pPr>
    </w:p>
    <w:p w14:paraId="173E76F0" w14:textId="77777777" w:rsidR="00275566" w:rsidRDefault="00FF2915" w:rsidP="00FF2915">
      <w:pPr>
        <w:pStyle w:val="Heading1"/>
        <w:spacing w:before="0"/>
      </w:pPr>
      <w:r>
        <w:lastRenderedPageBreak/>
        <w:t>Strategic Implications</w:t>
      </w:r>
    </w:p>
    <w:p w14:paraId="52659061" w14:textId="77777777" w:rsidR="00275566" w:rsidRPr="00FF2915" w:rsidRDefault="00FF2915">
      <w:pPr>
        <w:pStyle w:val="ListBullet"/>
        <w:rPr>
          <w:sz w:val="22"/>
          <w:szCs w:val="24"/>
        </w:rPr>
      </w:pPr>
      <w:r w:rsidRPr="00FF2915">
        <w:rPr>
          <w:b/>
          <w:sz w:val="22"/>
          <w:szCs w:val="24"/>
        </w:rPr>
        <w:t xml:space="preserve">Data consistency is the central need. </w:t>
      </w:r>
      <w:r w:rsidRPr="00FF2915">
        <w:rPr>
          <w:sz w:val="22"/>
          <w:szCs w:val="24"/>
        </w:rPr>
        <w:t>Institutions are measuring many of the same outcomes, but definitions and calculation methods need alignment to support comparable reporting.</w:t>
      </w:r>
    </w:p>
    <w:p w14:paraId="1D60C61D" w14:textId="77777777" w:rsidR="00275566" w:rsidRPr="00FF2915" w:rsidRDefault="00FF2915">
      <w:pPr>
        <w:pStyle w:val="ListBullet"/>
        <w:rPr>
          <w:sz w:val="22"/>
          <w:szCs w:val="24"/>
        </w:rPr>
      </w:pPr>
      <w:r w:rsidRPr="00FF2915">
        <w:rPr>
          <w:b/>
          <w:sz w:val="22"/>
          <w:szCs w:val="24"/>
        </w:rPr>
        <w:t xml:space="preserve">Manual processes limit scalability. </w:t>
      </w:r>
      <w:r w:rsidRPr="00FF2915">
        <w:rPr>
          <w:sz w:val="22"/>
          <w:szCs w:val="24"/>
        </w:rPr>
        <w:t>Heavy reliance on spreadsheets makes reporting flexible but vulnerable to inconsistent definitions, version-control issues, and staff capacity constraints.</w:t>
      </w:r>
    </w:p>
    <w:p w14:paraId="249CF717" w14:textId="77777777" w:rsidR="00275566" w:rsidRPr="00FF2915" w:rsidRDefault="00FF2915">
      <w:pPr>
        <w:pStyle w:val="ListBullet"/>
        <w:rPr>
          <w:sz w:val="22"/>
          <w:szCs w:val="24"/>
        </w:rPr>
      </w:pPr>
      <w:r w:rsidRPr="00FF2915">
        <w:rPr>
          <w:b/>
          <w:sz w:val="22"/>
          <w:szCs w:val="24"/>
        </w:rPr>
        <w:t xml:space="preserve">Longitudinal outcomes are underdeveloped. </w:t>
      </w:r>
      <w:r w:rsidRPr="00FF2915">
        <w:rPr>
          <w:sz w:val="22"/>
          <w:szCs w:val="24"/>
        </w:rPr>
        <w:t>Post-completion employment retention, wage progression, and employer value are important for demonstrating apprenticeship impact but require clearer processes and data-sharing agreements.</w:t>
      </w:r>
    </w:p>
    <w:p w14:paraId="34BFFBCE" w14:textId="77777777" w:rsidR="00275566" w:rsidRPr="00FF2915" w:rsidRDefault="00FF2915">
      <w:pPr>
        <w:pStyle w:val="ListBullet"/>
        <w:rPr>
          <w:sz w:val="22"/>
          <w:szCs w:val="24"/>
        </w:rPr>
      </w:pPr>
      <w:r w:rsidRPr="00FF2915">
        <w:rPr>
          <w:b/>
          <w:sz w:val="22"/>
          <w:szCs w:val="24"/>
        </w:rPr>
        <w:t xml:space="preserve">Employer-partner measurement needs careful design. </w:t>
      </w:r>
      <w:r w:rsidRPr="00FF2915">
        <w:rPr>
          <w:sz w:val="22"/>
          <w:szCs w:val="24"/>
        </w:rPr>
        <w:t>Because employer quality is subjective, the group may need an objective rubric using measurable indicators such as retention, apprentice completion, wage progression, responsiveness, and satisfaction.</w:t>
      </w:r>
    </w:p>
    <w:p w14:paraId="442BEE7E" w14:textId="77777777" w:rsidR="00275566" w:rsidRPr="00FF2915" w:rsidRDefault="00FF2915" w:rsidP="00FF2915">
      <w:pPr>
        <w:pStyle w:val="ListBullet"/>
        <w:spacing w:after="0"/>
        <w:rPr>
          <w:sz w:val="22"/>
          <w:szCs w:val="24"/>
        </w:rPr>
      </w:pPr>
      <w:r w:rsidRPr="00FF2915">
        <w:rPr>
          <w:b/>
          <w:sz w:val="22"/>
          <w:szCs w:val="24"/>
        </w:rPr>
        <w:t xml:space="preserve">Enterprise-system transitions are an opportunity. </w:t>
      </w:r>
      <w:r w:rsidRPr="00FF2915">
        <w:rPr>
          <w:sz w:val="22"/>
          <w:szCs w:val="24"/>
        </w:rPr>
        <w:t>Planned movement toward systems such as Workday can be used to establish common data fields, automated dashboards, and standardized reporting cycles.</w:t>
      </w:r>
    </w:p>
    <w:p w14:paraId="64693DC0" w14:textId="77777777" w:rsidR="00275566" w:rsidRDefault="00FF2915">
      <w:pPr>
        <w:pStyle w:val="Heading1"/>
      </w:pPr>
      <w:r>
        <w:t>Recommended Next Steps</w:t>
      </w:r>
    </w:p>
    <w:tbl>
      <w:tblPr>
        <w:tblStyle w:val="TableGrid"/>
        <w:tblW w:w="0" w:type="auto"/>
        <w:tblLook w:val="04A0" w:firstRow="1" w:lastRow="0" w:firstColumn="1" w:lastColumn="0" w:noHBand="0" w:noVBand="1"/>
      </w:tblPr>
      <w:tblGrid>
        <w:gridCol w:w="1008"/>
        <w:gridCol w:w="2700"/>
        <w:gridCol w:w="6516"/>
      </w:tblGrid>
      <w:tr w:rsidR="00275566" w:rsidRPr="00FF2915" w14:paraId="591444A6" w14:textId="77777777" w:rsidTr="00FF2915">
        <w:trPr>
          <w:tblHeader/>
        </w:trPr>
        <w:tc>
          <w:tcPr>
            <w:tcW w:w="1008" w:type="dxa"/>
            <w:shd w:val="clear" w:color="auto" w:fill="1F4E79"/>
          </w:tcPr>
          <w:p w14:paraId="3472D0C2" w14:textId="77777777" w:rsidR="00275566" w:rsidRPr="00FF2915" w:rsidRDefault="00FF2915">
            <w:pPr>
              <w:rPr>
                <w:sz w:val="22"/>
                <w:szCs w:val="28"/>
              </w:rPr>
            </w:pPr>
            <w:r w:rsidRPr="00FF2915">
              <w:rPr>
                <w:b/>
                <w:color w:val="FFFFFF"/>
                <w:sz w:val="22"/>
                <w:szCs w:val="28"/>
              </w:rPr>
              <w:t>Priority</w:t>
            </w:r>
          </w:p>
        </w:tc>
        <w:tc>
          <w:tcPr>
            <w:tcW w:w="2700" w:type="dxa"/>
            <w:shd w:val="clear" w:color="auto" w:fill="1F4E79"/>
          </w:tcPr>
          <w:p w14:paraId="33BF6C6F" w14:textId="77777777" w:rsidR="00275566" w:rsidRPr="00FF2915" w:rsidRDefault="00FF2915">
            <w:pPr>
              <w:rPr>
                <w:sz w:val="22"/>
                <w:szCs w:val="28"/>
              </w:rPr>
            </w:pPr>
            <w:r w:rsidRPr="00FF2915">
              <w:rPr>
                <w:b/>
                <w:color w:val="FFFFFF"/>
                <w:sz w:val="22"/>
                <w:szCs w:val="28"/>
              </w:rPr>
              <w:t>Action</w:t>
            </w:r>
          </w:p>
        </w:tc>
        <w:tc>
          <w:tcPr>
            <w:tcW w:w="6516" w:type="dxa"/>
            <w:shd w:val="clear" w:color="auto" w:fill="1F4E79"/>
          </w:tcPr>
          <w:p w14:paraId="51AF9C84" w14:textId="77777777" w:rsidR="00275566" w:rsidRPr="00FF2915" w:rsidRDefault="00FF2915">
            <w:pPr>
              <w:rPr>
                <w:sz w:val="22"/>
                <w:szCs w:val="28"/>
              </w:rPr>
            </w:pPr>
            <w:r w:rsidRPr="00FF2915">
              <w:rPr>
                <w:b/>
                <w:color w:val="FFFFFF"/>
                <w:sz w:val="22"/>
                <w:szCs w:val="28"/>
              </w:rPr>
              <w:t>Intended Benefit</w:t>
            </w:r>
          </w:p>
        </w:tc>
      </w:tr>
      <w:tr w:rsidR="00275566" w:rsidRPr="00FF2915" w14:paraId="0370BB49" w14:textId="77777777" w:rsidTr="00FF2915">
        <w:tc>
          <w:tcPr>
            <w:tcW w:w="1008" w:type="dxa"/>
          </w:tcPr>
          <w:p w14:paraId="799A8631" w14:textId="77777777" w:rsidR="00275566" w:rsidRPr="00FF2915" w:rsidRDefault="00FF2915">
            <w:pPr>
              <w:rPr>
                <w:sz w:val="22"/>
                <w:szCs w:val="28"/>
              </w:rPr>
            </w:pPr>
            <w:r w:rsidRPr="00FF2915">
              <w:rPr>
                <w:b/>
                <w:sz w:val="22"/>
                <w:szCs w:val="28"/>
              </w:rPr>
              <w:t>1</w:t>
            </w:r>
          </w:p>
        </w:tc>
        <w:tc>
          <w:tcPr>
            <w:tcW w:w="2700" w:type="dxa"/>
          </w:tcPr>
          <w:p w14:paraId="381B099A" w14:textId="77777777" w:rsidR="00275566" w:rsidRPr="00FF2915" w:rsidRDefault="00FF2915">
            <w:pPr>
              <w:rPr>
                <w:sz w:val="22"/>
                <w:szCs w:val="28"/>
              </w:rPr>
            </w:pPr>
            <w:r w:rsidRPr="00FF2915">
              <w:rPr>
                <w:sz w:val="22"/>
                <w:szCs w:val="28"/>
              </w:rPr>
              <w:t>Develop a shared apprenticeship data dictionary.</w:t>
            </w:r>
          </w:p>
        </w:tc>
        <w:tc>
          <w:tcPr>
            <w:tcW w:w="6516" w:type="dxa"/>
          </w:tcPr>
          <w:p w14:paraId="004C1FE8" w14:textId="77777777" w:rsidR="00275566" w:rsidRPr="00FF2915" w:rsidRDefault="00FF2915">
            <w:pPr>
              <w:rPr>
                <w:sz w:val="22"/>
                <w:szCs w:val="28"/>
              </w:rPr>
            </w:pPr>
            <w:r w:rsidRPr="00FF2915">
              <w:rPr>
                <w:sz w:val="22"/>
                <w:szCs w:val="28"/>
              </w:rPr>
              <w:t xml:space="preserve">Define participant, prospective apprentice, pre-apprentice, active apprentice, progression, completion, cancellation, withdrawal, </w:t>
            </w:r>
            <w:r w:rsidRPr="00FF2915">
              <w:rPr>
                <w:sz w:val="22"/>
                <w:szCs w:val="28"/>
              </w:rPr>
              <w:t>conversion, retention, active employer, and active program.</w:t>
            </w:r>
          </w:p>
        </w:tc>
      </w:tr>
      <w:tr w:rsidR="00275566" w:rsidRPr="00FF2915" w14:paraId="0248C1CB" w14:textId="77777777" w:rsidTr="00FF2915">
        <w:tc>
          <w:tcPr>
            <w:tcW w:w="1008" w:type="dxa"/>
          </w:tcPr>
          <w:p w14:paraId="16CD953F" w14:textId="77777777" w:rsidR="00275566" w:rsidRPr="00FF2915" w:rsidRDefault="00FF2915">
            <w:pPr>
              <w:rPr>
                <w:sz w:val="22"/>
                <w:szCs w:val="28"/>
              </w:rPr>
            </w:pPr>
            <w:r w:rsidRPr="00FF2915">
              <w:rPr>
                <w:b/>
                <w:sz w:val="22"/>
                <w:szCs w:val="28"/>
              </w:rPr>
              <w:t>2</w:t>
            </w:r>
          </w:p>
        </w:tc>
        <w:tc>
          <w:tcPr>
            <w:tcW w:w="2700" w:type="dxa"/>
          </w:tcPr>
          <w:p w14:paraId="67E35CCD" w14:textId="77777777" w:rsidR="00275566" w:rsidRPr="00FF2915" w:rsidRDefault="00FF2915">
            <w:pPr>
              <w:rPr>
                <w:sz w:val="22"/>
                <w:szCs w:val="28"/>
              </w:rPr>
            </w:pPr>
            <w:r w:rsidRPr="00FF2915">
              <w:rPr>
                <w:sz w:val="22"/>
                <w:szCs w:val="28"/>
              </w:rPr>
              <w:t>Create a minimum common data set.</w:t>
            </w:r>
          </w:p>
        </w:tc>
        <w:tc>
          <w:tcPr>
            <w:tcW w:w="6516" w:type="dxa"/>
          </w:tcPr>
          <w:p w14:paraId="186C0000" w14:textId="77777777" w:rsidR="00275566" w:rsidRPr="00FF2915" w:rsidRDefault="00FF2915">
            <w:pPr>
              <w:rPr>
                <w:sz w:val="22"/>
                <w:szCs w:val="28"/>
              </w:rPr>
            </w:pPr>
            <w:r w:rsidRPr="00FF2915">
              <w:rPr>
                <w:sz w:val="22"/>
                <w:szCs w:val="28"/>
              </w:rPr>
              <w:t>Identify the core measures every institution can track now, plus an aspirational set for longitudinal and employer-value outcomes.</w:t>
            </w:r>
          </w:p>
        </w:tc>
      </w:tr>
      <w:tr w:rsidR="00275566" w:rsidRPr="00FF2915" w14:paraId="4F981313" w14:textId="77777777" w:rsidTr="00FF2915">
        <w:tc>
          <w:tcPr>
            <w:tcW w:w="1008" w:type="dxa"/>
          </w:tcPr>
          <w:p w14:paraId="3C3F284B" w14:textId="77777777" w:rsidR="00275566" w:rsidRPr="00FF2915" w:rsidRDefault="00FF2915">
            <w:pPr>
              <w:rPr>
                <w:sz w:val="22"/>
                <w:szCs w:val="28"/>
              </w:rPr>
            </w:pPr>
            <w:r w:rsidRPr="00FF2915">
              <w:rPr>
                <w:b/>
                <w:sz w:val="22"/>
                <w:szCs w:val="28"/>
              </w:rPr>
              <w:t>3</w:t>
            </w:r>
          </w:p>
        </w:tc>
        <w:tc>
          <w:tcPr>
            <w:tcW w:w="2700" w:type="dxa"/>
          </w:tcPr>
          <w:p w14:paraId="5DF98AC8" w14:textId="77777777" w:rsidR="00275566" w:rsidRPr="00FF2915" w:rsidRDefault="00FF2915">
            <w:pPr>
              <w:rPr>
                <w:sz w:val="22"/>
                <w:szCs w:val="28"/>
              </w:rPr>
            </w:pPr>
            <w:r w:rsidRPr="00FF2915">
              <w:rPr>
                <w:sz w:val="22"/>
                <w:szCs w:val="28"/>
              </w:rPr>
              <w:t xml:space="preserve">Standardize cohort and </w:t>
            </w:r>
            <w:r w:rsidRPr="00FF2915">
              <w:rPr>
                <w:sz w:val="22"/>
                <w:szCs w:val="28"/>
              </w:rPr>
              <w:t>completion-rate methodology.</w:t>
            </w:r>
          </w:p>
        </w:tc>
        <w:tc>
          <w:tcPr>
            <w:tcW w:w="6516" w:type="dxa"/>
          </w:tcPr>
          <w:p w14:paraId="494DFAB7" w14:textId="2DF602FF" w:rsidR="00275566" w:rsidRPr="00FF2915" w:rsidRDefault="00FF2915">
            <w:pPr>
              <w:rPr>
                <w:sz w:val="22"/>
                <w:szCs w:val="28"/>
              </w:rPr>
            </w:pPr>
            <w:r w:rsidRPr="00FF2915">
              <w:rPr>
                <w:sz w:val="22"/>
                <w:szCs w:val="28"/>
              </w:rPr>
              <w:t>Use cohort-based methods that account for varied start dates and program lengths and</w:t>
            </w:r>
            <w:r w:rsidRPr="00FF2915">
              <w:rPr>
                <w:sz w:val="22"/>
                <w:szCs w:val="28"/>
              </w:rPr>
              <w:t xml:space="preserve"> clearly distinguish leading indicators from lagging indicators.</w:t>
            </w:r>
          </w:p>
        </w:tc>
      </w:tr>
      <w:tr w:rsidR="00275566" w:rsidRPr="00FF2915" w14:paraId="608E43D0" w14:textId="77777777" w:rsidTr="00FF2915">
        <w:tc>
          <w:tcPr>
            <w:tcW w:w="1008" w:type="dxa"/>
          </w:tcPr>
          <w:p w14:paraId="18209C84" w14:textId="77777777" w:rsidR="00275566" w:rsidRPr="00FF2915" w:rsidRDefault="00FF2915">
            <w:pPr>
              <w:rPr>
                <w:sz w:val="22"/>
                <w:szCs w:val="28"/>
              </w:rPr>
            </w:pPr>
            <w:r w:rsidRPr="00FF2915">
              <w:rPr>
                <w:b/>
                <w:sz w:val="22"/>
                <w:szCs w:val="28"/>
              </w:rPr>
              <w:t>4</w:t>
            </w:r>
          </w:p>
        </w:tc>
        <w:tc>
          <w:tcPr>
            <w:tcW w:w="2700" w:type="dxa"/>
          </w:tcPr>
          <w:p w14:paraId="36213AE9" w14:textId="77777777" w:rsidR="00275566" w:rsidRPr="00FF2915" w:rsidRDefault="00FF2915">
            <w:pPr>
              <w:rPr>
                <w:sz w:val="22"/>
                <w:szCs w:val="28"/>
              </w:rPr>
            </w:pPr>
            <w:r w:rsidRPr="00FF2915">
              <w:rPr>
                <w:sz w:val="22"/>
                <w:szCs w:val="28"/>
              </w:rPr>
              <w:t>Build a program-level reporting taxonomy.</w:t>
            </w:r>
          </w:p>
        </w:tc>
        <w:tc>
          <w:tcPr>
            <w:tcW w:w="6516" w:type="dxa"/>
          </w:tcPr>
          <w:p w14:paraId="33DDD702" w14:textId="77777777" w:rsidR="00275566" w:rsidRPr="00FF2915" w:rsidRDefault="00FF2915">
            <w:pPr>
              <w:rPr>
                <w:sz w:val="22"/>
                <w:szCs w:val="28"/>
              </w:rPr>
            </w:pPr>
            <w:r w:rsidRPr="00FF2915">
              <w:rPr>
                <w:sz w:val="22"/>
                <w:szCs w:val="28"/>
              </w:rPr>
              <w:t>Differentiate sponsored/managed, managed-not-sponsored, supported, and sourced apprenticeship activity in reporting.</w:t>
            </w:r>
          </w:p>
        </w:tc>
      </w:tr>
      <w:tr w:rsidR="00275566" w:rsidRPr="00FF2915" w14:paraId="0A526A26" w14:textId="77777777" w:rsidTr="00FF2915">
        <w:tc>
          <w:tcPr>
            <w:tcW w:w="1008" w:type="dxa"/>
          </w:tcPr>
          <w:p w14:paraId="4CCC6578" w14:textId="77777777" w:rsidR="00275566" w:rsidRPr="00FF2915" w:rsidRDefault="00FF2915">
            <w:pPr>
              <w:rPr>
                <w:sz w:val="22"/>
                <w:szCs w:val="28"/>
              </w:rPr>
            </w:pPr>
            <w:r w:rsidRPr="00FF2915">
              <w:rPr>
                <w:b/>
                <w:sz w:val="22"/>
                <w:szCs w:val="28"/>
              </w:rPr>
              <w:t>5</w:t>
            </w:r>
          </w:p>
        </w:tc>
        <w:tc>
          <w:tcPr>
            <w:tcW w:w="2700" w:type="dxa"/>
          </w:tcPr>
          <w:p w14:paraId="585D7D71" w14:textId="77777777" w:rsidR="00275566" w:rsidRPr="00FF2915" w:rsidRDefault="00FF2915">
            <w:pPr>
              <w:rPr>
                <w:sz w:val="22"/>
                <w:szCs w:val="28"/>
              </w:rPr>
            </w:pPr>
            <w:r w:rsidRPr="00FF2915">
              <w:rPr>
                <w:sz w:val="22"/>
                <w:szCs w:val="28"/>
              </w:rPr>
              <w:t>Pilot employer-quality and satisfaction measures.</w:t>
            </w:r>
          </w:p>
        </w:tc>
        <w:tc>
          <w:tcPr>
            <w:tcW w:w="6516" w:type="dxa"/>
          </w:tcPr>
          <w:p w14:paraId="15A23185" w14:textId="77777777" w:rsidR="00275566" w:rsidRPr="00FF2915" w:rsidRDefault="00FF2915">
            <w:pPr>
              <w:rPr>
                <w:sz w:val="22"/>
                <w:szCs w:val="28"/>
              </w:rPr>
            </w:pPr>
            <w:r w:rsidRPr="00FF2915">
              <w:rPr>
                <w:sz w:val="22"/>
                <w:szCs w:val="28"/>
              </w:rPr>
              <w:t xml:space="preserve">Develop an objective rubric and annual survey that can be used without relying solely on subjective </w:t>
            </w:r>
            <w:r w:rsidRPr="00FF2915">
              <w:rPr>
                <w:sz w:val="22"/>
                <w:szCs w:val="28"/>
              </w:rPr>
              <w:t>assessment.</w:t>
            </w:r>
          </w:p>
        </w:tc>
      </w:tr>
      <w:tr w:rsidR="00275566" w:rsidRPr="00FF2915" w14:paraId="6420468C" w14:textId="77777777" w:rsidTr="00FF2915">
        <w:tc>
          <w:tcPr>
            <w:tcW w:w="1008" w:type="dxa"/>
          </w:tcPr>
          <w:p w14:paraId="16BEFB70" w14:textId="77777777" w:rsidR="00275566" w:rsidRPr="00FF2915" w:rsidRDefault="00FF2915">
            <w:pPr>
              <w:rPr>
                <w:sz w:val="22"/>
                <w:szCs w:val="28"/>
              </w:rPr>
            </w:pPr>
            <w:r w:rsidRPr="00FF2915">
              <w:rPr>
                <w:b/>
                <w:sz w:val="22"/>
                <w:szCs w:val="28"/>
              </w:rPr>
              <w:t>6</w:t>
            </w:r>
          </w:p>
        </w:tc>
        <w:tc>
          <w:tcPr>
            <w:tcW w:w="2700" w:type="dxa"/>
          </w:tcPr>
          <w:p w14:paraId="37C0C40A" w14:textId="77777777" w:rsidR="00275566" w:rsidRPr="00FF2915" w:rsidRDefault="00FF2915">
            <w:pPr>
              <w:rPr>
                <w:sz w:val="22"/>
                <w:szCs w:val="28"/>
              </w:rPr>
            </w:pPr>
            <w:r w:rsidRPr="00FF2915">
              <w:rPr>
                <w:sz w:val="22"/>
                <w:szCs w:val="28"/>
              </w:rPr>
              <w:t>Reduce spreadsheet dependency over time.</w:t>
            </w:r>
          </w:p>
        </w:tc>
        <w:tc>
          <w:tcPr>
            <w:tcW w:w="6516" w:type="dxa"/>
          </w:tcPr>
          <w:p w14:paraId="792D90FE" w14:textId="77777777" w:rsidR="00275566" w:rsidRPr="00FF2915" w:rsidRDefault="00FF2915">
            <w:pPr>
              <w:rPr>
                <w:sz w:val="22"/>
                <w:szCs w:val="28"/>
              </w:rPr>
            </w:pPr>
            <w:r w:rsidRPr="00FF2915">
              <w:rPr>
                <w:sz w:val="22"/>
                <w:szCs w:val="28"/>
              </w:rPr>
              <w:t>Use current spreadsheets as prototypes for fields, definitions, and dashboard requirements before migrating to enterprise systems or shared reporting tools.</w:t>
            </w:r>
          </w:p>
        </w:tc>
      </w:tr>
    </w:tbl>
    <w:p w14:paraId="453F66D0" w14:textId="77777777" w:rsidR="00275566" w:rsidRDefault="00FF2915">
      <w:pPr>
        <w:pStyle w:val="Heading1"/>
      </w:pPr>
      <w:r>
        <w:t>Potential Common Dashboard Measures</w:t>
      </w:r>
    </w:p>
    <w:p w14:paraId="2C58205E" w14:textId="77777777" w:rsidR="00275566" w:rsidRPr="00FF2915" w:rsidRDefault="00FF2915">
      <w:pPr>
        <w:pStyle w:val="ListBullet"/>
        <w:rPr>
          <w:sz w:val="22"/>
          <w:szCs w:val="24"/>
        </w:rPr>
      </w:pPr>
      <w:r w:rsidRPr="00FF2915">
        <w:rPr>
          <w:sz w:val="22"/>
          <w:szCs w:val="24"/>
        </w:rPr>
        <w:t>Active apprenticeship programs and active employer partners.</w:t>
      </w:r>
    </w:p>
    <w:p w14:paraId="4BDE71B7" w14:textId="77777777" w:rsidR="00275566" w:rsidRPr="00FF2915" w:rsidRDefault="00FF2915">
      <w:pPr>
        <w:pStyle w:val="ListBullet"/>
        <w:rPr>
          <w:sz w:val="22"/>
          <w:szCs w:val="24"/>
        </w:rPr>
      </w:pPr>
      <w:r w:rsidRPr="00FF2915">
        <w:rPr>
          <w:sz w:val="22"/>
          <w:szCs w:val="24"/>
        </w:rPr>
        <w:t>Total unduplicated active apprentice headcount in RTI and/or OJT.</w:t>
      </w:r>
    </w:p>
    <w:p w14:paraId="2FBD62D5" w14:textId="77777777" w:rsidR="00275566" w:rsidRPr="00FF2915" w:rsidRDefault="00FF2915">
      <w:pPr>
        <w:pStyle w:val="ListBullet"/>
        <w:rPr>
          <w:sz w:val="22"/>
          <w:szCs w:val="24"/>
        </w:rPr>
      </w:pPr>
      <w:r w:rsidRPr="00FF2915">
        <w:rPr>
          <w:sz w:val="22"/>
          <w:szCs w:val="24"/>
        </w:rPr>
        <w:t>New apprentice starts by term and by industry sector.</w:t>
      </w:r>
    </w:p>
    <w:p w14:paraId="0F8547B2" w14:textId="77777777" w:rsidR="00275566" w:rsidRPr="00FF2915" w:rsidRDefault="00FF2915">
      <w:pPr>
        <w:pStyle w:val="ListBullet"/>
        <w:rPr>
          <w:sz w:val="22"/>
          <w:szCs w:val="24"/>
        </w:rPr>
      </w:pPr>
      <w:r w:rsidRPr="00FF2915">
        <w:rPr>
          <w:sz w:val="22"/>
          <w:szCs w:val="24"/>
        </w:rPr>
        <w:t>Term-to-term persistence, average GPA, RTI pass rates, and D/F/W rates.</w:t>
      </w:r>
    </w:p>
    <w:p w14:paraId="071C21A1" w14:textId="77777777" w:rsidR="00275566" w:rsidRPr="00FF2915" w:rsidRDefault="00FF2915">
      <w:pPr>
        <w:pStyle w:val="ListBullet"/>
        <w:rPr>
          <w:sz w:val="22"/>
          <w:szCs w:val="24"/>
        </w:rPr>
      </w:pPr>
      <w:r w:rsidRPr="00FF2915">
        <w:rPr>
          <w:sz w:val="22"/>
          <w:szCs w:val="24"/>
        </w:rPr>
        <w:t>Certificate and degree completions; total apprenticeship completions including RTI and OJT.</w:t>
      </w:r>
    </w:p>
    <w:p w14:paraId="5D42C62C" w14:textId="77777777" w:rsidR="00275566" w:rsidRPr="00FF2915" w:rsidRDefault="00FF2915">
      <w:pPr>
        <w:pStyle w:val="ListBullet"/>
        <w:rPr>
          <w:sz w:val="22"/>
          <w:szCs w:val="24"/>
        </w:rPr>
      </w:pPr>
      <w:r w:rsidRPr="00FF2915">
        <w:rPr>
          <w:sz w:val="22"/>
          <w:szCs w:val="24"/>
        </w:rPr>
        <w:t>Withdrawals, cancellations, and completion-rate cohorts.</w:t>
      </w:r>
    </w:p>
    <w:p w14:paraId="65B97806" w14:textId="77777777" w:rsidR="00275566" w:rsidRPr="00FF2915" w:rsidRDefault="00FF2915">
      <w:pPr>
        <w:pStyle w:val="ListBullet"/>
        <w:rPr>
          <w:sz w:val="22"/>
          <w:szCs w:val="24"/>
        </w:rPr>
      </w:pPr>
      <w:r w:rsidRPr="00FF2915">
        <w:rPr>
          <w:sz w:val="22"/>
          <w:szCs w:val="24"/>
        </w:rPr>
        <w:t>Employer satisfaction, employer-validated competencies, and employer-paid tuition/fees.</w:t>
      </w:r>
    </w:p>
    <w:p w14:paraId="173E698E" w14:textId="77777777" w:rsidR="00275566" w:rsidRPr="00FF2915" w:rsidRDefault="00FF2915">
      <w:pPr>
        <w:pStyle w:val="ListBullet"/>
        <w:rPr>
          <w:sz w:val="22"/>
          <w:szCs w:val="24"/>
        </w:rPr>
      </w:pPr>
      <w:r w:rsidRPr="00FF2915">
        <w:rPr>
          <w:sz w:val="22"/>
          <w:szCs w:val="24"/>
        </w:rPr>
        <w:t>Apprentice wage gains and employment retention at one, two, and five years post-completion, where feasible.</w:t>
      </w:r>
    </w:p>
    <w:p w14:paraId="50642B3A" w14:textId="77777777" w:rsidR="00275566" w:rsidRDefault="00FF2915">
      <w:pPr>
        <w:pStyle w:val="Heading1"/>
      </w:pPr>
      <w:r>
        <w:lastRenderedPageBreak/>
        <w:t>Conclusion</w:t>
      </w:r>
    </w:p>
    <w:p w14:paraId="2DDB2437" w14:textId="77777777" w:rsidR="00275566" w:rsidRPr="00FF2915" w:rsidRDefault="00FF2915">
      <w:pPr>
        <w:rPr>
          <w:sz w:val="22"/>
          <w:szCs w:val="24"/>
        </w:rPr>
      </w:pPr>
      <w:r w:rsidRPr="00FF2915">
        <w:rPr>
          <w:sz w:val="22"/>
          <w:szCs w:val="24"/>
        </w:rPr>
        <w:t>The learning community has a strong foundation for apprenticeship data reporting, with common attention to enrollment, progression, completion, programs, and employer partners. The next stage of work should focus on standardizing definitions, improving calculation methods for programs of varied lengths, moving from manual tracking to more durable systems, and building capacity to measure employer value and long-term apprentice outcomes. These steps will support stronger institutional reporting, better compl</w:t>
      </w:r>
      <w:r w:rsidRPr="00FF2915">
        <w:rPr>
          <w:sz w:val="22"/>
          <w:szCs w:val="24"/>
        </w:rPr>
        <w:t>iance alignment, and a clearer demonstration of apprenticeship impact for students, employers, and public workforce partners.</w:t>
      </w:r>
    </w:p>
    <w:p w14:paraId="4B092B25" w14:textId="77777777" w:rsidR="00275566" w:rsidRDefault="00FF2915">
      <w:r>
        <w:br w:type="page"/>
      </w:r>
    </w:p>
    <w:p w14:paraId="39C90A20" w14:textId="77777777" w:rsidR="00275566" w:rsidRDefault="00FF2915">
      <w:pPr>
        <w:pStyle w:val="Heading1"/>
      </w:pPr>
      <w:r>
        <w:lastRenderedPageBreak/>
        <w:t>Appendix: Discussion Themes by Question</w:t>
      </w:r>
    </w:p>
    <w:tbl>
      <w:tblPr>
        <w:tblStyle w:val="TableGrid"/>
        <w:tblW w:w="0" w:type="auto"/>
        <w:tblLook w:val="04A0" w:firstRow="1" w:lastRow="0" w:firstColumn="1" w:lastColumn="0" w:noHBand="0" w:noVBand="1"/>
      </w:tblPr>
      <w:tblGrid>
        <w:gridCol w:w="5112"/>
        <w:gridCol w:w="5112"/>
      </w:tblGrid>
      <w:tr w:rsidR="00275566" w14:paraId="6B0B00E5" w14:textId="77777777">
        <w:trPr>
          <w:tblHeader/>
        </w:trPr>
        <w:tc>
          <w:tcPr>
            <w:tcW w:w="5112" w:type="dxa"/>
            <w:shd w:val="clear" w:color="auto" w:fill="1F4E79"/>
          </w:tcPr>
          <w:p w14:paraId="709645BD" w14:textId="77777777" w:rsidR="00275566" w:rsidRDefault="00FF2915">
            <w:r>
              <w:rPr>
                <w:b/>
                <w:color w:val="FFFFFF"/>
                <w:sz w:val="18"/>
              </w:rPr>
              <w:t>Question Area</w:t>
            </w:r>
          </w:p>
        </w:tc>
        <w:tc>
          <w:tcPr>
            <w:tcW w:w="5112" w:type="dxa"/>
            <w:shd w:val="clear" w:color="auto" w:fill="1F4E79"/>
          </w:tcPr>
          <w:p w14:paraId="4FFE54E0" w14:textId="77777777" w:rsidR="00275566" w:rsidRDefault="00FF2915">
            <w:r>
              <w:rPr>
                <w:b/>
                <w:color w:val="FFFFFF"/>
                <w:sz w:val="18"/>
              </w:rPr>
              <w:t>Condensed Notes</w:t>
            </w:r>
          </w:p>
        </w:tc>
      </w:tr>
      <w:tr w:rsidR="00275566" w14:paraId="40FB8F45" w14:textId="77777777">
        <w:tc>
          <w:tcPr>
            <w:tcW w:w="5112" w:type="dxa"/>
          </w:tcPr>
          <w:p w14:paraId="202E4422" w14:textId="77777777" w:rsidR="00275566" w:rsidRDefault="00FF2915">
            <w:r>
              <w:rPr>
                <w:b/>
                <w:sz w:val="18"/>
              </w:rPr>
              <w:t>Who receives apprenticeship data?</w:t>
            </w:r>
          </w:p>
        </w:tc>
        <w:tc>
          <w:tcPr>
            <w:tcW w:w="5112" w:type="dxa"/>
          </w:tcPr>
          <w:p w14:paraId="29F89868" w14:textId="77777777" w:rsidR="00275566" w:rsidRDefault="00FF2915">
            <w:r>
              <w:rPr>
                <w:sz w:val="18"/>
              </w:rPr>
              <w:t>Internal leaders and enrollment teams; ICCB, Illinois workNet, cohort and survey reporting; RAPIDS, EDA, WIOA, and partner reporting as needed.</w:t>
            </w:r>
          </w:p>
        </w:tc>
      </w:tr>
      <w:tr w:rsidR="00275566" w14:paraId="2236E7CF" w14:textId="77777777">
        <w:tc>
          <w:tcPr>
            <w:tcW w:w="5112" w:type="dxa"/>
          </w:tcPr>
          <w:p w14:paraId="0DB41A78" w14:textId="77777777" w:rsidR="00275566" w:rsidRDefault="00FF2915">
            <w:r>
              <w:rPr>
                <w:b/>
                <w:sz w:val="18"/>
              </w:rPr>
              <w:t>What data is collected?</w:t>
            </w:r>
          </w:p>
        </w:tc>
        <w:tc>
          <w:tcPr>
            <w:tcW w:w="5112" w:type="dxa"/>
          </w:tcPr>
          <w:p w14:paraId="51681D3F" w14:textId="77777777" w:rsidR="00275566" w:rsidRDefault="00FF2915">
            <w:r>
              <w:rPr>
                <w:sz w:val="18"/>
              </w:rPr>
              <w:t>Prospective apprentices, pre-apprenticeship where applicable, apprentice enrollment, progression, academic/program completion, certificate/credit status, wage changes, employer conversion, programs, partners, capacity, and employer value measures.</w:t>
            </w:r>
          </w:p>
        </w:tc>
      </w:tr>
      <w:tr w:rsidR="00275566" w14:paraId="04DAA494" w14:textId="77777777">
        <w:tc>
          <w:tcPr>
            <w:tcW w:w="5112" w:type="dxa"/>
          </w:tcPr>
          <w:p w14:paraId="2F67B596" w14:textId="77777777" w:rsidR="00275566" w:rsidRDefault="00FF2915">
            <w:r>
              <w:rPr>
                <w:b/>
                <w:sz w:val="18"/>
              </w:rPr>
              <w:t>How are different program levels treated?</w:t>
            </w:r>
          </w:p>
        </w:tc>
        <w:tc>
          <w:tcPr>
            <w:tcW w:w="5112" w:type="dxa"/>
          </w:tcPr>
          <w:p w14:paraId="38ADF69D" w14:textId="77777777" w:rsidR="00275566" w:rsidRDefault="00FF2915">
            <w:r>
              <w:rPr>
                <w:sz w:val="18"/>
              </w:rPr>
              <w:t>Most institutions report categories similarly; some do not support non-registered programs, while ICC tracks non-registered apprentices similarly to registered apprentices.</w:t>
            </w:r>
          </w:p>
        </w:tc>
      </w:tr>
      <w:tr w:rsidR="00275566" w14:paraId="208FFECE" w14:textId="77777777">
        <w:tc>
          <w:tcPr>
            <w:tcW w:w="5112" w:type="dxa"/>
          </w:tcPr>
          <w:p w14:paraId="52E87670" w14:textId="77777777" w:rsidR="00275566" w:rsidRDefault="00FF2915">
            <w:r>
              <w:rPr>
                <w:b/>
                <w:sz w:val="18"/>
              </w:rPr>
              <w:t>How are programs and partners tracked?</w:t>
            </w:r>
          </w:p>
        </w:tc>
        <w:tc>
          <w:tcPr>
            <w:tcW w:w="5112" w:type="dxa"/>
          </w:tcPr>
          <w:p w14:paraId="3B149B20" w14:textId="77777777" w:rsidR="00275566" w:rsidRDefault="00FF2915">
            <w:r>
              <w:rPr>
                <w:sz w:val="18"/>
              </w:rPr>
              <w:t>Current and historical program and employer-partner counts are tracked. Employer quality is mostly not tracked yet because it is subjective, though one institution is developing a method.</w:t>
            </w:r>
          </w:p>
        </w:tc>
      </w:tr>
      <w:tr w:rsidR="00275566" w14:paraId="493235E8" w14:textId="77777777">
        <w:tc>
          <w:tcPr>
            <w:tcW w:w="5112" w:type="dxa"/>
          </w:tcPr>
          <w:p w14:paraId="4F2EF90E" w14:textId="77777777" w:rsidR="00275566" w:rsidRDefault="00FF2915">
            <w:r>
              <w:rPr>
                <w:b/>
                <w:sz w:val="18"/>
              </w:rPr>
              <w:t>How are progression/completion/conversion calculated?</w:t>
            </w:r>
          </w:p>
        </w:tc>
        <w:tc>
          <w:tcPr>
            <w:tcW w:w="5112" w:type="dxa"/>
          </w:tcPr>
          <w:p w14:paraId="58156E38" w14:textId="77777777" w:rsidR="00275566" w:rsidRDefault="00FF2915">
            <w:r>
              <w:rPr>
                <w:sz w:val="18"/>
              </w:rPr>
              <w:t>Primarily via working spreadsheets and simple calculations; reporting cadence varies by institution. Varied start dates and program lengths remain a challenge.</w:t>
            </w:r>
          </w:p>
        </w:tc>
      </w:tr>
      <w:tr w:rsidR="00275566" w14:paraId="7F852D2E" w14:textId="77777777">
        <w:tc>
          <w:tcPr>
            <w:tcW w:w="5112" w:type="dxa"/>
          </w:tcPr>
          <w:p w14:paraId="264ADDC6" w14:textId="77777777" w:rsidR="00275566" w:rsidRDefault="00FF2915">
            <w:r>
              <w:rPr>
                <w:b/>
                <w:sz w:val="18"/>
              </w:rPr>
              <w:t>What systems are used?</w:t>
            </w:r>
          </w:p>
        </w:tc>
        <w:tc>
          <w:tcPr>
            <w:tcW w:w="5112" w:type="dxa"/>
          </w:tcPr>
          <w:p w14:paraId="212ABC43" w14:textId="77777777" w:rsidR="00275566" w:rsidRDefault="00FF2915">
            <w:r>
              <w:rPr>
                <w:sz w:val="18"/>
              </w:rPr>
              <w:t>Excel, Access, RAPIDS, Navigate, Colleague coding/tagging, and future Workday implementation; external platforms were discussed as examples.</w:t>
            </w:r>
          </w:p>
        </w:tc>
      </w:tr>
    </w:tbl>
    <w:p w14:paraId="33232B8F" w14:textId="77777777" w:rsidR="00FF2915" w:rsidRDefault="00FF2915"/>
    <w:sectPr w:rsidR="00000000" w:rsidSect="00034616">
      <w:footerReference w:type="default" r:id="rId8"/>
      <w:pgSz w:w="12240" w:h="15840"/>
      <w:pgMar w:top="936" w:right="1008" w:bottom="93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4D412" w14:textId="77777777" w:rsidR="00FF2915" w:rsidRDefault="00FF2915">
      <w:pPr>
        <w:spacing w:after="0" w:line="240" w:lineRule="auto"/>
      </w:pPr>
      <w:r>
        <w:separator/>
      </w:r>
    </w:p>
  </w:endnote>
  <w:endnote w:type="continuationSeparator" w:id="0">
    <w:p w14:paraId="750391F7" w14:textId="77777777" w:rsidR="00FF2915" w:rsidRDefault="00FF2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03856" w14:textId="77777777" w:rsidR="00275566" w:rsidRDefault="00FF2915">
    <w:pPr>
      <w:pStyle w:val="Footer"/>
      <w:jc w:val="center"/>
    </w:pPr>
    <w:r>
      <w:rPr>
        <w:sz w:val="16"/>
      </w:rPr>
      <w:t>Apprenticeship Learning Community - Executive Summary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E5421" w14:textId="77777777" w:rsidR="00FF2915" w:rsidRDefault="00FF2915">
      <w:pPr>
        <w:spacing w:after="0" w:line="240" w:lineRule="auto"/>
      </w:pPr>
      <w:r>
        <w:separator/>
      </w:r>
    </w:p>
  </w:footnote>
  <w:footnote w:type="continuationSeparator" w:id="0">
    <w:p w14:paraId="5EED83BD" w14:textId="77777777" w:rsidR="00FF2915" w:rsidRDefault="00FF29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31955642">
    <w:abstractNumId w:val="8"/>
  </w:num>
  <w:num w:numId="2" w16cid:durableId="1444037574">
    <w:abstractNumId w:val="6"/>
  </w:num>
  <w:num w:numId="3" w16cid:durableId="904725840">
    <w:abstractNumId w:val="5"/>
  </w:num>
  <w:num w:numId="4" w16cid:durableId="101340785">
    <w:abstractNumId w:val="4"/>
  </w:num>
  <w:num w:numId="5" w16cid:durableId="1517114941">
    <w:abstractNumId w:val="7"/>
  </w:num>
  <w:num w:numId="6" w16cid:durableId="890729789">
    <w:abstractNumId w:val="3"/>
  </w:num>
  <w:num w:numId="7" w16cid:durableId="1756241122">
    <w:abstractNumId w:val="2"/>
  </w:num>
  <w:num w:numId="8" w16cid:durableId="1696156117">
    <w:abstractNumId w:val="1"/>
  </w:num>
  <w:num w:numId="9" w16cid:durableId="1140464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42A1"/>
    <w:rsid w:val="00034616"/>
    <w:rsid w:val="0006063C"/>
    <w:rsid w:val="0015074B"/>
    <w:rsid w:val="00275566"/>
    <w:rsid w:val="0029639D"/>
    <w:rsid w:val="00326F90"/>
    <w:rsid w:val="00AA1D8D"/>
    <w:rsid w:val="00B47730"/>
    <w:rsid w:val="00CB0664"/>
    <w:rsid w:val="00FC693F"/>
    <w:rsid w:val="00FF2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24CCF5"/>
  <w14:defaultImageDpi w14:val="300"/>
  <w15:docId w15:val="{741D0C38-3D93-437F-8C70-0FE44D520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F4E79"/>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F4E79"/>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2014</Words>
  <Characters>11486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13474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Gerberding, Angela</cp:lastModifiedBy>
  <cp:revision>2</cp:revision>
  <dcterms:created xsi:type="dcterms:W3CDTF">2013-12-23T23:15:00Z</dcterms:created>
  <dcterms:modified xsi:type="dcterms:W3CDTF">2026-05-18T15:27:00Z</dcterms:modified>
  <cp:category/>
</cp:coreProperties>
</file>