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77D7" w14:textId="4BF534FD" w:rsidR="008D07F4" w:rsidRDefault="002D4741" w:rsidP="1E6751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F7F7F" w:themeFill="text1" w:themeFillTint="80"/>
        <w:jc w:val="center"/>
        <w:rPr>
          <w:b/>
          <w:bCs/>
          <w:smallCaps/>
          <w:color w:val="FFFFFF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t>C</w:t>
      </w:r>
      <w:r w:rsidR="00A26C4E">
        <w:rPr>
          <w:b/>
          <w:bCs/>
          <w:smallCaps/>
          <w:color w:val="FFFFFF" w:themeColor="background1"/>
          <w:sz w:val="28"/>
          <w:szCs w:val="28"/>
        </w:rPr>
        <w:t xml:space="preserve">TE </w:t>
      </w:r>
      <w:r w:rsidR="00A71029">
        <w:rPr>
          <w:b/>
          <w:bCs/>
          <w:smallCaps/>
          <w:color w:val="FFFFFF" w:themeColor="background1"/>
          <w:sz w:val="28"/>
          <w:szCs w:val="28"/>
        </w:rPr>
        <w:t>Virtual</w:t>
      </w:r>
      <w:r w:rsidR="005C58B2">
        <w:rPr>
          <w:b/>
          <w:bCs/>
          <w:smallCaps/>
          <w:color w:val="FFFFFF" w:themeColor="background1"/>
          <w:sz w:val="28"/>
          <w:szCs w:val="28"/>
        </w:rPr>
        <w:t xml:space="preserve"> Reality (</w:t>
      </w:r>
      <w:r w:rsidR="00A26C4E">
        <w:rPr>
          <w:b/>
          <w:bCs/>
          <w:smallCaps/>
          <w:color w:val="FFFFFF" w:themeColor="background1"/>
          <w:sz w:val="28"/>
          <w:szCs w:val="28"/>
        </w:rPr>
        <w:t>VR</w:t>
      </w:r>
      <w:r w:rsidR="005C58B2">
        <w:rPr>
          <w:b/>
          <w:bCs/>
          <w:smallCaps/>
          <w:color w:val="FFFFFF" w:themeColor="background1"/>
          <w:sz w:val="28"/>
          <w:szCs w:val="28"/>
        </w:rPr>
        <w:t>)</w:t>
      </w:r>
      <w:r w:rsidR="1F743CAF" w:rsidRPr="1E67515F">
        <w:rPr>
          <w:b/>
          <w:bCs/>
          <w:smallCaps/>
          <w:color w:val="FFFFFF" w:themeColor="background1"/>
          <w:sz w:val="28"/>
          <w:szCs w:val="28"/>
        </w:rPr>
        <w:t xml:space="preserve"> </w:t>
      </w:r>
      <w:r w:rsidR="00075087">
        <w:rPr>
          <w:b/>
          <w:bCs/>
          <w:smallCaps/>
          <w:color w:val="FFFFFF" w:themeColor="background1"/>
          <w:sz w:val="28"/>
          <w:szCs w:val="28"/>
        </w:rPr>
        <w:t>Grant</w:t>
      </w:r>
      <w:r w:rsidR="005A2B96" w:rsidRPr="1E67515F">
        <w:rPr>
          <w:b/>
          <w:bCs/>
          <w:smallCaps/>
          <w:color w:val="FFFFFF" w:themeColor="background1"/>
          <w:sz w:val="28"/>
          <w:szCs w:val="28"/>
        </w:rPr>
        <w:t xml:space="preserve"> Guidelines</w:t>
      </w:r>
    </w:p>
    <w:p w14:paraId="40192648" w14:textId="77777777" w:rsidR="008D07F4" w:rsidRDefault="005A2B96">
      <w:pPr>
        <w:shd w:val="clear" w:color="auto" w:fill="C6D9F1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Background</w:t>
      </w:r>
    </w:p>
    <w:p w14:paraId="5D63FA2E" w14:textId="72778D55" w:rsidR="0028472F" w:rsidRDefault="0028472F" w:rsidP="008C30BA">
      <w:pPr>
        <w:pStyle w:val="NormalWeb"/>
        <w:shd w:val="clear" w:color="auto" w:fill="FFFFFF"/>
        <w:spacing w:before="0" w:beforeAutospacing="0" w:after="0" w:afterAutospacing="0"/>
      </w:pPr>
      <w:r>
        <w:t xml:space="preserve">ICCB is releasing a </w:t>
      </w:r>
      <w:r w:rsidR="00082006">
        <w:t xml:space="preserve">competitive </w:t>
      </w:r>
      <w:r>
        <w:t xml:space="preserve">grant to help community colleges implement virtual reality equipment and software for </w:t>
      </w:r>
      <w:r w:rsidR="00DE2E68">
        <w:t xml:space="preserve">recruitment and student instruction in Career &amp; Technical Education. </w:t>
      </w:r>
      <w:r w:rsidR="008C30BA" w:rsidRPr="008E46D3">
        <w:t>Up to 15 colleges will be selected to receive funding for this project</w:t>
      </w:r>
      <w:r w:rsidR="008C30BA">
        <w:t>.</w:t>
      </w:r>
    </w:p>
    <w:p w14:paraId="4A3296DA" w14:textId="77777777" w:rsidR="0028472F" w:rsidRDefault="0028472F" w:rsidP="008C30BA">
      <w:pPr>
        <w:jc w:val="both"/>
      </w:pPr>
    </w:p>
    <w:p w14:paraId="5F81AE4B" w14:textId="3C1D9343" w:rsidR="0028472F" w:rsidRDefault="0028472F" w:rsidP="008C30BA">
      <w:pPr>
        <w:jc w:val="both"/>
      </w:pPr>
      <w:r>
        <w:t xml:space="preserve">The grant period is for FY 2024 and FY 2025. Funding will be front-loaded to allow colleges to take advantage of </w:t>
      </w:r>
      <w:r w:rsidR="00FC2951">
        <w:t xml:space="preserve">any </w:t>
      </w:r>
      <w:r>
        <w:t>multi-year discount pricing discounts with vendor</w:t>
      </w:r>
      <w:r w:rsidR="00FC2951">
        <w:t>s</w:t>
      </w:r>
      <w:r>
        <w:t>.</w:t>
      </w:r>
    </w:p>
    <w:p w14:paraId="54C2BFF7" w14:textId="77777777" w:rsidR="0028472F" w:rsidRDefault="0028472F" w:rsidP="008C30BA">
      <w:pPr>
        <w:jc w:val="both"/>
      </w:pPr>
    </w:p>
    <w:p w14:paraId="4E2B3349" w14:textId="4E4B510E" w:rsidR="000444C5" w:rsidRDefault="0028472F" w:rsidP="008C30BA">
      <w:pPr>
        <w:jc w:val="both"/>
      </w:pPr>
      <w:r>
        <w:t>The maximum award will be $100,000, with the average award being $50,000. At the average size, ICCB anticipates making 15 awards.</w:t>
      </w:r>
    </w:p>
    <w:p w14:paraId="3A715643" w14:textId="77777777" w:rsidR="0028472F" w:rsidRDefault="0028472F" w:rsidP="0028472F">
      <w:pPr>
        <w:jc w:val="both"/>
      </w:pPr>
    </w:p>
    <w:p w14:paraId="0BBDDC9E" w14:textId="74388F73" w:rsidR="005B6AE0" w:rsidRPr="00EF5B24" w:rsidRDefault="005B6AE0" w:rsidP="005B6AE0">
      <w:pPr>
        <w:shd w:val="clear" w:color="auto" w:fill="C6D9F1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General Overview</w:t>
      </w:r>
    </w:p>
    <w:p w14:paraId="6FE00ACB" w14:textId="263C6585" w:rsidR="00301D3C" w:rsidRDefault="00301D3C" w:rsidP="00454A49">
      <w:pPr>
        <w:jc w:val="both"/>
      </w:pPr>
      <w:r>
        <w:t xml:space="preserve">The Illinois Community College Board has received funding from the legislature to help </w:t>
      </w:r>
      <w:r w:rsidR="0020768C">
        <w:t>Illinois</w:t>
      </w:r>
      <w:r w:rsidR="009651C6">
        <w:t xml:space="preserve"> community colleges</w:t>
      </w:r>
      <w:r>
        <w:t xml:space="preserve"> </w:t>
      </w:r>
      <w:r w:rsidRPr="00454A49">
        <w:t>obtain interactive virtual reality technology</w:t>
      </w:r>
      <w:r w:rsidR="008056A3">
        <w:t xml:space="preserve"> for student recruitment and instruction in Career &amp; Technical Education</w:t>
      </w:r>
      <w:r w:rsidR="009651C6">
        <w:t xml:space="preserve">. A total of </w:t>
      </w:r>
      <w:r w:rsidR="0020768C">
        <w:t>$</w:t>
      </w:r>
      <w:r w:rsidR="009651C6" w:rsidRPr="00454A49">
        <w:t>768,000</w:t>
      </w:r>
      <w:r w:rsidR="009651C6">
        <w:t xml:space="preserve"> is set aside for this grant.</w:t>
      </w:r>
    </w:p>
    <w:p w14:paraId="48C12CF4" w14:textId="11CE08E0" w:rsidR="00301D3C" w:rsidRDefault="00301D3C" w:rsidP="00454A49">
      <w:pPr>
        <w:jc w:val="both"/>
      </w:pPr>
    </w:p>
    <w:p w14:paraId="40AFA48B" w14:textId="24F23EB6" w:rsidR="009651C6" w:rsidRDefault="009651C6" w:rsidP="00454A49">
      <w:pPr>
        <w:jc w:val="both"/>
      </w:pPr>
      <w:r>
        <w:t xml:space="preserve">The funds </w:t>
      </w:r>
      <w:r w:rsidR="0042690C">
        <w:t xml:space="preserve">can be </w:t>
      </w:r>
      <w:r>
        <w:t xml:space="preserve">used </w:t>
      </w:r>
      <w:r w:rsidR="001713F7">
        <w:t>for</w:t>
      </w:r>
      <w:r w:rsidR="0042690C">
        <w:t xml:space="preserve"> the following</w:t>
      </w:r>
      <w:r>
        <w:t>:</w:t>
      </w:r>
    </w:p>
    <w:p w14:paraId="0EB92CEF" w14:textId="2FE5A2C0" w:rsidR="001713F7" w:rsidRDefault="006100C1" w:rsidP="001713F7">
      <w:pPr>
        <w:pStyle w:val="ListParagraph"/>
        <w:numPr>
          <w:ilvl w:val="0"/>
          <w:numId w:val="14"/>
        </w:numPr>
        <w:jc w:val="both"/>
      </w:pPr>
      <w:r>
        <w:t>Purchase of VR hardware &amp; software to e</w:t>
      </w:r>
      <w:r w:rsidR="007C0DF0">
        <w:t>xpand</w:t>
      </w:r>
      <w:r w:rsidR="00660549">
        <w:t xml:space="preserve"> </w:t>
      </w:r>
      <w:r w:rsidR="007C0DF0">
        <w:t xml:space="preserve">or enhance </w:t>
      </w:r>
      <w:r w:rsidR="0042690C">
        <w:t>current</w:t>
      </w:r>
      <w:r w:rsidR="00660549">
        <w:t xml:space="preserve"> </w:t>
      </w:r>
      <w:r w:rsidR="003C3725">
        <w:t xml:space="preserve">Career &amp; Technical Education </w:t>
      </w:r>
      <w:r w:rsidR="00660549">
        <w:t>student recruiting practices</w:t>
      </w:r>
      <w:r w:rsidR="000A39AD">
        <w:t xml:space="preserve"> </w:t>
      </w:r>
      <w:r w:rsidR="007C0DF0">
        <w:t>using</w:t>
      </w:r>
      <w:r w:rsidR="000A39AD">
        <w:t xml:space="preserve"> VR technology</w:t>
      </w:r>
      <w:r w:rsidR="00660549">
        <w:t>.</w:t>
      </w:r>
    </w:p>
    <w:p w14:paraId="00DE24C6" w14:textId="3A221931" w:rsidR="009651C6" w:rsidRDefault="006100C1" w:rsidP="001713F7">
      <w:pPr>
        <w:pStyle w:val="ListParagraph"/>
        <w:numPr>
          <w:ilvl w:val="0"/>
          <w:numId w:val="14"/>
        </w:numPr>
        <w:jc w:val="both"/>
      </w:pPr>
      <w:r>
        <w:t>Purchase of VR hardware &amp; software to e</w:t>
      </w:r>
      <w:r w:rsidR="001713F7">
        <w:t>nhanc</w:t>
      </w:r>
      <w:r w:rsidR="00C3692A">
        <w:t>e</w:t>
      </w:r>
      <w:r w:rsidR="001713F7">
        <w:t xml:space="preserve"> existing </w:t>
      </w:r>
      <w:r w:rsidR="003C1B4E">
        <w:t xml:space="preserve">Career &amp; Technical Education instructional </w:t>
      </w:r>
      <w:r w:rsidR="00454A49" w:rsidRPr="00454A49">
        <w:t>program</w:t>
      </w:r>
      <w:r w:rsidR="001713F7">
        <w:t>s or start a new program</w:t>
      </w:r>
      <w:r w:rsidR="005D7401">
        <w:t xml:space="preserve"> to include </w:t>
      </w:r>
      <w:r w:rsidR="00F83345">
        <w:t>VR technology</w:t>
      </w:r>
      <w:r w:rsidR="00660549">
        <w:t>.</w:t>
      </w:r>
    </w:p>
    <w:p w14:paraId="0E94BEBD" w14:textId="7C5CA175" w:rsidR="001713F7" w:rsidRDefault="001713F7" w:rsidP="00454A49">
      <w:pPr>
        <w:jc w:val="both"/>
      </w:pPr>
    </w:p>
    <w:p w14:paraId="64813441" w14:textId="03F57180" w:rsidR="008629DA" w:rsidRDefault="00921AEC" w:rsidP="00454A49">
      <w:pPr>
        <w:jc w:val="both"/>
      </w:pPr>
      <w:r>
        <w:t>The</w:t>
      </w:r>
      <w:r w:rsidR="008629DA">
        <w:t xml:space="preserve"> target curriculum is in the </w:t>
      </w:r>
      <w:r w:rsidR="00454A49" w:rsidRPr="00454A49">
        <w:t>high-demand skills pathways</w:t>
      </w:r>
      <w:r w:rsidR="00501436">
        <w:t xml:space="preserve"> and includes </w:t>
      </w:r>
      <w:r w:rsidR="008629DA">
        <w:t>but not limited to</w:t>
      </w:r>
      <w:r w:rsidR="00187505">
        <w:t>:</w:t>
      </w:r>
    </w:p>
    <w:p w14:paraId="503E7F44" w14:textId="77777777" w:rsidR="00187505" w:rsidRDefault="00187505" w:rsidP="00454A49">
      <w:pPr>
        <w:jc w:val="both"/>
      </w:pPr>
    </w:p>
    <w:p w14:paraId="7F7A304B" w14:textId="38D15513" w:rsidR="008629DA" w:rsidRDefault="008629DA" w:rsidP="008629DA">
      <w:pPr>
        <w:pStyle w:val="ListParagraph"/>
        <w:numPr>
          <w:ilvl w:val="0"/>
          <w:numId w:val="16"/>
        </w:numPr>
        <w:jc w:val="both"/>
      </w:pPr>
      <w:r>
        <w:t>H</w:t>
      </w:r>
      <w:r w:rsidR="00454A49" w:rsidRPr="00454A49">
        <w:t>ealthcare,</w:t>
      </w:r>
    </w:p>
    <w:p w14:paraId="289923AE" w14:textId="55F5C23F" w:rsidR="008629DA" w:rsidRDefault="008629DA" w:rsidP="008629DA">
      <w:pPr>
        <w:pStyle w:val="ListParagraph"/>
        <w:numPr>
          <w:ilvl w:val="0"/>
          <w:numId w:val="16"/>
        </w:numPr>
        <w:jc w:val="both"/>
      </w:pPr>
      <w:r>
        <w:t>C</w:t>
      </w:r>
      <w:r w:rsidR="00454A49" w:rsidRPr="00454A49">
        <w:t>onstruction,</w:t>
      </w:r>
    </w:p>
    <w:p w14:paraId="4A57C533" w14:textId="71AB745B" w:rsidR="008629DA" w:rsidRDefault="008629DA" w:rsidP="008629DA">
      <w:pPr>
        <w:pStyle w:val="ListParagraph"/>
        <w:numPr>
          <w:ilvl w:val="0"/>
          <w:numId w:val="16"/>
        </w:numPr>
        <w:jc w:val="both"/>
      </w:pPr>
      <w:r>
        <w:t>M</w:t>
      </w:r>
      <w:r w:rsidR="00454A49" w:rsidRPr="00454A49">
        <w:t xml:space="preserve">anufacturing </w:t>
      </w:r>
    </w:p>
    <w:p w14:paraId="207093C8" w14:textId="03DC1ADF" w:rsidR="008629DA" w:rsidRDefault="008629DA" w:rsidP="008629DA">
      <w:pPr>
        <w:pStyle w:val="ListParagraph"/>
        <w:numPr>
          <w:ilvl w:val="0"/>
          <w:numId w:val="16"/>
        </w:numPr>
        <w:jc w:val="both"/>
      </w:pPr>
      <w:r>
        <w:t>A</w:t>
      </w:r>
      <w:r w:rsidR="00454A49" w:rsidRPr="00454A49">
        <w:t>utomotive</w:t>
      </w:r>
    </w:p>
    <w:p w14:paraId="1529814E" w14:textId="3EDB6E27" w:rsidR="008629DA" w:rsidRDefault="008629DA" w:rsidP="008629DA">
      <w:pPr>
        <w:pStyle w:val="ListParagraph"/>
        <w:numPr>
          <w:ilvl w:val="0"/>
          <w:numId w:val="16"/>
        </w:numPr>
        <w:jc w:val="both"/>
      </w:pPr>
      <w:r>
        <w:t>D</w:t>
      </w:r>
      <w:r w:rsidR="00454A49" w:rsidRPr="00454A49">
        <w:t xml:space="preserve">iesel, and </w:t>
      </w:r>
    </w:p>
    <w:p w14:paraId="20992061" w14:textId="24BA5B47" w:rsidR="00454A49" w:rsidRPr="00454A49" w:rsidRDefault="008629DA" w:rsidP="008629DA">
      <w:pPr>
        <w:pStyle w:val="ListParagraph"/>
        <w:numPr>
          <w:ilvl w:val="0"/>
          <w:numId w:val="16"/>
        </w:numPr>
        <w:jc w:val="both"/>
      </w:pPr>
      <w:r>
        <w:t>A</w:t>
      </w:r>
      <w:r w:rsidR="00454A49" w:rsidRPr="00454A49">
        <w:t>viation maintenance</w:t>
      </w:r>
    </w:p>
    <w:p w14:paraId="0C4A441A" w14:textId="77777777" w:rsidR="00F25130" w:rsidRDefault="00F25130" w:rsidP="000C320C">
      <w:pPr>
        <w:spacing w:line="276" w:lineRule="auto"/>
        <w:jc w:val="both"/>
      </w:pPr>
    </w:p>
    <w:p w14:paraId="11C7E1AC" w14:textId="7D59E4AA" w:rsidR="0E11ED09" w:rsidRDefault="00B52618" w:rsidP="0A767AFD">
      <w:pPr>
        <w:shd w:val="clear" w:color="auto" w:fill="C6D9F1" w:themeFill="text2" w:themeFillTint="33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>Grant</w:t>
      </w:r>
      <w:r w:rsidR="5E081621" w:rsidRPr="2D0D0851">
        <w:rPr>
          <w:b/>
          <w:bCs/>
          <w:smallCaps/>
          <w:sz w:val="26"/>
          <w:szCs w:val="26"/>
        </w:rPr>
        <w:t xml:space="preserve"> </w:t>
      </w:r>
      <w:r w:rsidR="0E11ED09" w:rsidRPr="2D0D0851">
        <w:rPr>
          <w:b/>
          <w:bCs/>
          <w:smallCaps/>
          <w:sz w:val="26"/>
          <w:szCs w:val="26"/>
        </w:rPr>
        <w:t>Information</w:t>
      </w:r>
    </w:p>
    <w:p w14:paraId="798D1DAA" w14:textId="22693FF2" w:rsidR="004D57F9" w:rsidRDefault="004D57F9" w:rsidP="00504EE4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The Grant Application Package consists of three parts: the grant narrative, the </w:t>
      </w:r>
      <w:r w:rsidRPr="00E57EAC">
        <w:rPr>
          <w:b/>
          <w:bCs/>
        </w:rPr>
        <w:t>Uniform Budget Template</w:t>
      </w:r>
      <w:r>
        <w:rPr>
          <w:b/>
          <w:bCs/>
        </w:rPr>
        <w:t>, and the G</w:t>
      </w:r>
      <w:r w:rsidRPr="00E57EAC">
        <w:rPr>
          <w:b/>
          <w:bCs/>
        </w:rPr>
        <w:t>rant Application (GATA-exempt)</w:t>
      </w:r>
      <w:r>
        <w:rPr>
          <w:b/>
          <w:bCs/>
        </w:rPr>
        <w:t>.</w:t>
      </w:r>
    </w:p>
    <w:p w14:paraId="6563736A" w14:textId="77777777" w:rsidR="00504EE4" w:rsidRPr="00504EE4" w:rsidRDefault="00504EE4" w:rsidP="00504EE4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16250582" w14:textId="11B345A4" w:rsidR="4AF0E82E" w:rsidRDefault="00B52618" w:rsidP="00504EE4">
      <w:pPr>
        <w:jc w:val="both"/>
      </w:pPr>
      <w:r>
        <w:rPr>
          <w:u w:val="single"/>
        </w:rPr>
        <w:t>Grant Application Package</w:t>
      </w:r>
    </w:p>
    <w:p w14:paraId="54C69C95" w14:textId="77777777" w:rsidR="00732045" w:rsidRDefault="00B52618" w:rsidP="00504EE4">
      <w:pPr>
        <w:jc w:val="both"/>
      </w:pPr>
      <w:r>
        <w:t>Grant application packages</w:t>
      </w:r>
      <w:r w:rsidR="4AF0E82E" w:rsidRPr="2D0D0851">
        <w:t xml:space="preserve"> are due by 5:00 p.m. on </w:t>
      </w:r>
      <w:r>
        <w:t>Friday, January 5, 2024</w:t>
      </w:r>
      <w:r w:rsidR="4AF0E82E" w:rsidRPr="2D0D0851">
        <w:t xml:space="preserve">. </w:t>
      </w:r>
      <w:r w:rsidR="00732045" w:rsidRPr="00771185">
        <w:t>A</w:t>
      </w:r>
      <w:r w:rsidR="00732045">
        <w:t>pplications and any</w:t>
      </w:r>
      <w:r w:rsidR="00732045" w:rsidRPr="00771185">
        <w:t xml:space="preserve"> questions should be submitted electronically to </w:t>
      </w:r>
      <w:r w:rsidR="00732045">
        <w:t>Jeff Newell</w:t>
      </w:r>
      <w:r w:rsidR="00732045" w:rsidRPr="00771185">
        <w:t xml:space="preserve">, </w:t>
      </w:r>
      <w:r w:rsidR="00732045">
        <w:t>Deputy</w:t>
      </w:r>
      <w:r w:rsidR="00732045" w:rsidRPr="00771185">
        <w:t xml:space="preserve"> Director for </w:t>
      </w:r>
      <w:r w:rsidR="00732045">
        <w:t xml:space="preserve">Strategic Initiatives, </w:t>
      </w:r>
      <w:hyperlink r:id="rId10" w:history="1">
        <w:r w:rsidR="00732045" w:rsidRPr="00CE4B42">
          <w:rPr>
            <w:rStyle w:val="Hyperlink"/>
          </w:rPr>
          <w:t>jeff.newell@illinois.gov</w:t>
        </w:r>
      </w:hyperlink>
      <w:r w:rsidR="00732045">
        <w:t>.</w:t>
      </w:r>
      <w:r w:rsidR="00732045" w:rsidRPr="00771185">
        <w:t xml:space="preserve"> Paper copies are not permitted. Applicants will receive confirmation of receipt.</w:t>
      </w:r>
    </w:p>
    <w:p w14:paraId="7930CB5F" w14:textId="6271EDBF" w:rsidR="00732045" w:rsidRDefault="00732045" w:rsidP="00504EE4">
      <w:pPr>
        <w:jc w:val="both"/>
      </w:pPr>
    </w:p>
    <w:p w14:paraId="233C4098" w14:textId="57F7733F" w:rsidR="4AF0E82E" w:rsidRDefault="00B52618" w:rsidP="00504EE4">
      <w:pPr>
        <w:jc w:val="both"/>
      </w:pPr>
      <w:r>
        <w:t>Grant</w:t>
      </w:r>
      <w:r w:rsidR="00EF0A14">
        <w:t xml:space="preserve"> applications </w:t>
      </w:r>
      <w:r w:rsidR="4AF0E82E" w:rsidRPr="2D0D0851">
        <w:t xml:space="preserve">will be reviewed by ICCB staff to ensure the </w:t>
      </w:r>
      <w:r w:rsidR="19F31DB4" w:rsidRPr="2D0D0851">
        <w:t xml:space="preserve">guidelines and </w:t>
      </w:r>
      <w:r w:rsidR="4AF0E82E" w:rsidRPr="2D0D0851">
        <w:t>scope</w:t>
      </w:r>
      <w:r w:rsidR="058E8AF3" w:rsidRPr="2D0D0851">
        <w:t xml:space="preserve"> of work </w:t>
      </w:r>
      <w:r w:rsidR="4AF0E82E" w:rsidRPr="2D0D0851">
        <w:t xml:space="preserve">activities for the </w:t>
      </w:r>
      <w:r w:rsidR="00417B1F">
        <w:t>grant</w:t>
      </w:r>
      <w:r w:rsidR="7FAC26B0" w:rsidRPr="2D0D0851">
        <w:t xml:space="preserve"> are met</w:t>
      </w:r>
      <w:r w:rsidR="4AF0E82E" w:rsidRPr="2D0D0851">
        <w:t xml:space="preserve">. ICCB staff will work with colleges on modifications for a revised </w:t>
      </w:r>
      <w:r w:rsidR="548EB38B" w:rsidRPr="2D0D0851">
        <w:lastRenderedPageBreak/>
        <w:t>plan</w:t>
      </w:r>
      <w:r w:rsidR="4AF0E82E" w:rsidRPr="2D0D0851">
        <w:t xml:space="preserve"> as necessary. All </w:t>
      </w:r>
      <w:r w:rsidR="00EF0A14">
        <w:t>application package</w:t>
      </w:r>
      <w:r w:rsidR="4AF0E82E" w:rsidRPr="2D0D0851">
        <w:t xml:space="preserve"> documents should be signed and dated, where appropriate. </w:t>
      </w:r>
    </w:p>
    <w:p w14:paraId="48C4F02F" w14:textId="77777777" w:rsidR="005477E9" w:rsidRDefault="005477E9" w:rsidP="00504EE4">
      <w:pPr>
        <w:jc w:val="both"/>
      </w:pPr>
    </w:p>
    <w:p w14:paraId="7E7C5662" w14:textId="49962D15" w:rsidR="005477E9" w:rsidRDefault="005477E9" w:rsidP="00504EE4">
      <w:pPr>
        <w:jc w:val="both"/>
      </w:pPr>
      <w:r>
        <w:t>Awards are expected to be announced by January 19, 2024. Agreements will be developed thereafter.</w:t>
      </w:r>
    </w:p>
    <w:p w14:paraId="4355D72D" w14:textId="67418C9C" w:rsidR="0A767AFD" w:rsidRDefault="0A767AFD" w:rsidP="00504EE4">
      <w:pPr>
        <w:jc w:val="both"/>
      </w:pPr>
    </w:p>
    <w:p w14:paraId="7227C03A" w14:textId="164C0794" w:rsidR="4AF0E82E" w:rsidRDefault="1B4F30D8" w:rsidP="00504EE4">
      <w:pPr>
        <w:jc w:val="both"/>
      </w:pPr>
      <w:r w:rsidRPr="2D0D0851">
        <w:rPr>
          <w:u w:val="single"/>
        </w:rPr>
        <w:t xml:space="preserve">Funding </w:t>
      </w:r>
      <w:r w:rsidR="4AF0E82E" w:rsidRPr="2D0D0851">
        <w:rPr>
          <w:u w:val="single"/>
        </w:rPr>
        <w:t>Period</w:t>
      </w:r>
    </w:p>
    <w:p w14:paraId="488163CF" w14:textId="04B730C5" w:rsidR="0A767AFD" w:rsidRDefault="4AF0E82E" w:rsidP="00504EE4">
      <w:pPr>
        <w:jc w:val="both"/>
      </w:pPr>
      <w:r w:rsidRPr="2D0D0851">
        <w:t xml:space="preserve">The </w:t>
      </w:r>
      <w:r w:rsidR="07DCF8D8" w:rsidRPr="2D0D0851">
        <w:t xml:space="preserve">funding </w:t>
      </w:r>
      <w:r w:rsidRPr="2D0D0851">
        <w:t xml:space="preserve">period is for </w:t>
      </w:r>
      <w:r w:rsidRPr="00EE50D6">
        <w:t>FY202</w:t>
      </w:r>
      <w:r w:rsidR="00EE50D6" w:rsidRPr="00EE50D6">
        <w:t>4 and FY 2025</w:t>
      </w:r>
      <w:r w:rsidR="005517C5" w:rsidRPr="00EE50D6">
        <w:t>,</w:t>
      </w:r>
      <w:r w:rsidRPr="00EE50D6">
        <w:t xml:space="preserve"> begin</w:t>
      </w:r>
      <w:r w:rsidR="42A62D90" w:rsidRPr="00EE50D6">
        <w:t>ning</w:t>
      </w:r>
      <w:r w:rsidRPr="00EE50D6">
        <w:t xml:space="preserve"> </w:t>
      </w:r>
      <w:r w:rsidR="007314E7">
        <w:t>January</w:t>
      </w:r>
      <w:r w:rsidR="19AA621E" w:rsidRPr="00EE50D6">
        <w:t xml:space="preserve"> </w:t>
      </w:r>
      <w:r w:rsidRPr="00EE50D6">
        <w:t>1, 202</w:t>
      </w:r>
      <w:r w:rsidR="007314E7">
        <w:t>4</w:t>
      </w:r>
      <w:r w:rsidRPr="00EE50D6">
        <w:t xml:space="preserve"> and conclud</w:t>
      </w:r>
      <w:r w:rsidR="2AD393FE" w:rsidRPr="00EE50D6">
        <w:t>ing</w:t>
      </w:r>
      <w:r w:rsidRPr="00EE50D6">
        <w:t xml:space="preserve"> </w:t>
      </w:r>
      <w:r w:rsidR="008043E8">
        <w:t>December 31, 2024</w:t>
      </w:r>
      <w:r w:rsidR="58614A7F" w:rsidRPr="00EE50D6">
        <w:t>.</w:t>
      </w:r>
      <w:r w:rsidR="58614A7F" w:rsidRPr="2D0D0851">
        <w:t xml:space="preserve"> </w:t>
      </w:r>
      <w:r w:rsidR="79C3EB15" w:rsidRPr="2D0D0851">
        <w:t xml:space="preserve">Pre-award costs from </w:t>
      </w:r>
      <w:r w:rsidR="00A17222">
        <w:t>January</w:t>
      </w:r>
      <w:r w:rsidR="79C3EB15" w:rsidRPr="2D0D0851">
        <w:t xml:space="preserve"> 1 to the </w:t>
      </w:r>
      <w:r w:rsidR="64BA82D7" w:rsidRPr="2D0D0851">
        <w:t xml:space="preserve">approval </w:t>
      </w:r>
      <w:r w:rsidR="79C3EB15" w:rsidRPr="2D0D0851">
        <w:t xml:space="preserve">of the </w:t>
      </w:r>
      <w:r w:rsidR="548EB38B" w:rsidRPr="2D0D0851">
        <w:t>plan</w:t>
      </w:r>
      <w:r w:rsidR="79C3EB15" w:rsidRPr="2D0D0851">
        <w:t xml:space="preserve"> are allowable</w:t>
      </w:r>
      <w:r w:rsidR="0E1DE4C0" w:rsidRPr="2D0D0851">
        <w:t xml:space="preserve"> but must be in line with the approved scope of activities</w:t>
      </w:r>
      <w:r w:rsidR="527EE63D" w:rsidRPr="2D0D0851">
        <w:t>.</w:t>
      </w:r>
    </w:p>
    <w:p w14:paraId="0527B6B5" w14:textId="15179947" w:rsidR="2D0D0851" w:rsidRDefault="2D0D0851" w:rsidP="00504EE4">
      <w:pPr>
        <w:jc w:val="both"/>
      </w:pPr>
    </w:p>
    <w:p w14:paraId="1CA55A7F" w14:textId="5CA58F4D" w:rsidR="00C54FCB" w:rsidRDefault="00C54FCB" w:rsidP="00504EE4">
      <w:pPr>
        <w:jc w:val="both"/>
      </w:pPr>
      <w:r>
        <w:rPr>
          <w:u w:val="single"/>
        </w:rPr>
        <w:t>Grant Narrative</w:t>
      </w:r>
    </w:p>
    <w:p w14:paraId="5F903B33" w14:textId="77777777" w:rsidR="00D56668" w:rsidRDefault="00D56668" w:rsidP="00504EE4">
      <w:pPr>
        <w:pStyle w:val="NormalWeb"/>
        <w:shd w:val="clear" w:color="auto" w:fill="FFFFFF"/>
        <w:spacing w:before="0" w:beforeAutospacing="0" w:after="0" w:afterAutospacing="0"/>
      </w:pPr>
      <w:r w:rsidRPr="008E46D3">
        <w:t>The CTE VR Plans need to describe how your institution will support the strategies for this grant.  Specifically, your plans should include written details for the areas below.</w:t>
      </w:r>
    </w:p>
    <w:p w14:paraId="2CC8EDC9" w14:textId="77777777" w:rsidR="00067985" w:rsidRPr="008E46D3" w:rsidRDefault="00067985" w:rsidP="00504EE4">
      <w:pPr>
        <w:pStyle w:val="NormalWeb"/>
        <w:shd w:val="clear" w:color="auto" w:fill="FFFFFF"/>
        <w:spacing w:before="0" w:beforeAutospacing="0" w:after="0" w:afterAutospacing="0"/>
      </w:pPr>
    </w:p>
    <w:p w14:paraId="3B3C05F2" w14:textId="77777777" w:rsidR="00D56668" w:rsidRPr="00726145" w:rsidRDefault="00D56668" w:rsidP="00504EE4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726145">
        <w:rPr>
          <w:rFonts w:ascii="Times New Roman" w:eastAsia="Times New Roman" w:hAnsi="Times New Roman" w:cs="Times New Roman"/>
        </w:rPr>
        <w:t xml:space="preserve">Description of </w:t>
      </w:r>
      <w:r>
        <w:rPr>
          <w:rFonts w:ascii="Times New Roman" w:eastAsia="Times New Roman" w:hAnsi="Times New Roman" w:cs="Times New Roman"/>
        </w:rPr>
        <w:t>the technology, headsets and software,</w:t>
      </w:r>
      <w:r w:rsidRPr="00726145">
        <w:rPr>
          <w:rFonts w:ascii="Times New Roman" w:eastAsia="Times New Roman" w:hAnsi="Times New Roman" w:cs="Times New Roman"/>
        </w:rPr>
        <w:t xml:space="preserve"> to be purchased from </w:t>
      </w:r>
      <w:r>
        <w:rPr>
          <w:rFonts w:ascii="Times New Roman" w:eastAsia="Times New Roman" w:hAnsi="Times New Roman" w:cs="Times New Roman"/>
        </w:rPr>
        <w:t>a VR technology vendor.</w:t>
      </w:r>
    </w:p>
    <w:p w14:paraId="08BCD668" w14:textId="77777777" w:rsidR="00D56668" w:rsidRPr="00726145" w:rsidRDefault="00D56668" w:rsidP="00504EE4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Description of any multi-year </w:t>
      </w:r>
      <w:r w:rsidRPr="00726145">
        <w:rPr>
          <w:rFonts w:ascii="Times New Roman" w:eastAsia="Times New Roman" w:hAnsi="Times New Roman" w:cs="Times New Roman"/>
        </w:rPr>
        <w:t>purchasing discount</w:t>
      </w:r>
      <w:r>
        <w:rPr>
          <w:rFonts w:ascii="Times New Roman" w:eastAsia="Times New Roman" w:hAnsi="Times New Roman" w:cs="Times New Roman"/>
        </w:rPr>
        <w:t xml:space="preserve"> included from the vendor</w:t>
      </w:r>
      <w:r w:rsidRPr="00726145">
        <w:rPr>
          <w:rFonts w:ascii="Times New Roman" w:eastAsia="Times New Roman" w:hAnsi="Times New Roman" w:cs="Times New Roman"/>
        </w:rPr>
        <w:t>.</w:t>
      </w:r>
    </w:p>
    <w:p w14:paraId="4F79FDD1" w14:textId="77777777" w:rsidR="00D56668" w:rsidRPr="008E46D3" w:rsidRDefault="00D56668" w:rsidP="00504EE4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 w:cs="Times New Roman"/>
        </w:rPr>
      </w:pPr>
      <w:r w:rsidRPr="00726145">
        <w:rPr>
          <w:rFonts w:ascii="Times New Roman" w:eastAsia="Times New Roman" w:hAnsi="Times New Roman" w:cs="Times New Roman"/>
        </w:rPr>
        <w:t xml:space="preserve">Description of planned usage for </w:t>
      </w:r>
      <w:r>
        <w:rPr>
          <w:rFonts w:ascii="Times New Roman" w:eastAsia="Times New Roman" w:hAnsi="Times New Roman" w:cs="Times New Roman"/>
        </w:rPr>
        <w:t xml:space="preserve">student </w:t>
      </w:r>
      <w:r w:rsidRPr="00726145">
        <w:rPr>
          <w:rFonts w:ascii="Times New Roman" w:eastAsia="Times New Roman" w:hAnsi="Times New Roman" w:cs="Times New Roman"/>
        </w:rPr>
        <w:t>recruitment purposes</w:t>
      </w:r>
      <w:r>
        <w:rPr>
          <w:rFonts w:ascii="Times New Roman" w:eastAsia="Times New Roman" w:hAnsi="Times New Roman" w:cs="Times New Roman"/>
        </w:rPr>
        <w:t>.</w:t>
      </w:r>
    </w:p>
    <w:p w14:paraId="160B10F2" w14:textId="77777777" w:rsidR="00D56668" w:rsidRDefault="00D56668" w:rsidP="00504EE4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726145">
        <w:rPr>
          <w:rFonts w:ascii="Times New Roman" w:eastAsia="Times New Roman" w:hAnsi="Times New Roman" w:cs="Times New Roman"/>
        </w:rPr>
        <w:t>Description of planned instructional usage, including identification of CTE courses or curriculum where VR will be implemented</w:t>
      </w:r>
      <w:r>
        <w:rPr>
          <w:rFonts w:ascii="Times New Roman" w:eastAsia="Times New Roman" w:hAnsi="Times New Roman" w:cs="Times New Roman"/>
        </w:rPr>
        <w:t>.</w:t>
      </w:r>
    </w:p>
    <w:p w14:paraId="4195DB79" w14:textId="77777777" w:rsidR="00D56668" w:rsidRPr="00726145" w:rsidRDefault="00D56668" w:rsidP="00504EE4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Description of expected learning outcomes with use of VR.</w:t>
      </w:r>
    </w:p>
    <w:p w14:paraId="64E0989E" w14:textId="77777777" w:rsidR="00C54FCB" w:rsidRDefault="00C54FCB" w:rsidP="00504EE4">
      <w:pPr>
        <w:jc w:val="both"/>
      </w:pPr>
    </w:p>
    <w:p w14:paraId="5118D478" w14:textId="506A0477" w:rsidR="003066E5" w:rsidRDefault="003066E5" w:rsidP="003066E5">
      <w:pPr>
        <w:jc w:val="both"/>
      </w:pPr>
      <w:r>
        <w:rPr>
          <w:u w:val="single"/>
        </w:rPr>
        <w:t xml:space="preserve">Grant </w:t>
      </w:r>
      <w:r w:rsidRPr="0A767AFD">
        <w:rPr>
          <w:u w:val="single"/>
        </w:rPr>
        <w:t>Budget</w:t>
      </w:r>
    </w:p>
    <w:p w14:paraId="409BEE0A" w14:textId="6C458088" w:rsidR="003066E5" w:rsidRDefault="003066E5" w:rsidP="003066E5">
      <w:pPr>
        <w:jc w:val="both"/>
      </w:pPr>
      <w:r w:rsidRPr="2D0D0851">
        <w:t xml:space="preserve">Colleges must complete </w:t>
      </w:r>
      <w:r w:rsidR="001C449E">
        <w:t>the</w:t>
      </w:r>
      <w:r w:rsidRPr="2D0D0851">
        <w:t xml:space="preserve"> GATA </w:t>
      </w:r>
      <w:r>
        <w:t>Uniform B</w:t>
      </w:r>
      <w:r w:rsidRPr="2D0D0851">
        <w:t xml:space="preserve">udget </w:t>
      </w:r>
      <w:r w:rsidR="00D44FAC">
        <w:t>t</w:t>
      </w:r>
      <w:r>
        <w:t xml:space="preserve">emplate </w:t>
      </w:r>
      <w:r w:rsidRPr="2D0D0851">
        <w:t xml:space="preserve">with their plan. Please note that </w:t>
      </w:r>
      <w:r>
        <w:t>the budget associated with the grant is restricted to the purchase of VR hardware and software. Funding for any other activities or costs is prohibited.</w:t>
      </w:r>
    </w:p>
    <w:p w14:paraId="3907C56F" w14:textId="77777777" w:rsidR="003066E5" w:rsidRDefault="003066E5" w:rsidP="003066E5">
      <w:pPr>
        <w:jc w:val="both"/>
      </w:pPr>
    </w:p>
    <w:p w14:paraId="7A2DF7F5" w14:textId="67911903" w:rsidR="003066E5" w:rsidRDefault="003066E5" w:rsidP="003066E5">
      <w:pPr>
        <w:jc w:val="both"/>
      </w:pPr>
      <w:r>
        <w:rPr>
          <w:u w:val="single"/>
        </w:rPr>
        <w:t xml:space="preserve">Grant </w:t>
      </w:r>
      <w:r w:rsidR="001C449E">
        <w:rPr>
          <w:u w:val="single"/>
        </w:rPr>
        <w:t>Application</w:t>
      </w:r>
    </w:p>
    <w:p w14:paraId="0033D5DF" w14:textId="52C9E498" w:rsidR="003066E5" w:rsidRDefault="003066E5" w:rsidP="003066E5">
      <w:pPr>
        <w:jc w:val="both"/>
      </w:pPr>
      <w:r w:rsidRPr="2D0D0851">
        <w:t xml:space="preserve">Colleges must complete </w:t>
      </w:r>
      <w:r w:rsidR="001C449E">
        <w:t>the</w:t>
      </w:r>
      <w:r w:rsidRPr="2D0D0851">
        <w:t xml:space="preserve"> </w:t>
      </w:r>
      <w:r w:rsidR="001C449E" w:rsidRPr="001C449E">
        <w:t>Grant</w:t>
      </w:r>
      <w:r w:rsidR="00D44FAC">
        <w:t xml:space="preserve"> </w:t>
      </w:r>
      <w:r w:rsidR="001C449E" w:rsidRPr="001C449E">
        <w:t>Application</w:t>
      </w:r>
      <w:r w:rsidR="00D44FAC">
        <w:t xml:space="preserve"> </w:t>
      </w:r>
      <w:r w:rsidR="001C449E" w:rsidRPr="001C449E">
        <w:t>GATA-exempt</w:t>
      </w:r>
      <w:r w:rsidR="001C449E">
        <w:t xml:space="preserve"> template</w:t>
      </w:r>
      <w:r w:rsidRPr="2D0D0851">
        <w:t>.</w:t>
      </w:r>
    </w:p>
    <w:p w14:paraId="28E82C76" w14:textId="77777777" w:rsidR="00C54FCB" w:rsidRDefault="00C54FCB" w:rsidP="00504EE4">
      <w:pPr>
        <w:jc w:val="both"/>
      </w:pPr>
    </w:p>
    <w:p w14:paraId="1DD0F6F1" w14:textId="77777777" w:rsidR="004A33F7" w:rsidRDefault="004A33F7" w:rsidP="00504EE4">
      <w:pPr>
        <w:jc w:val="both"/>
      </w:pPr>
      <w:r w:rsidRPr="0A767AFD">
        <w:rPr>
          <w:u w:val="single"/>
        </w:rPr>
        <w:t>Allowable and Unallowable Expenditures</w:t>
      </w:r>
    </w:p>
    <w:p w14:paraId="749E3624" w14:textId="2DD57BAB" w:rsidR="004A33F7" w:rsidRDefault="004A33F7" w:rsidP="00504EE4">
      <w:pPr>
        <w:jc w:val="both"/>
      </w:pPr>
      <w:r w:rsidRPr="2D0D0851">
        <w:t>For additional guidance on allowable and unallowable expenditures, please contact</w:t>
      </w:r>
      <w:r>
        <w:t xml:space="preserve"> </w:t>
      </w:r>
      <w:r w:rsidR="00D44FAC">
        <w:t>Jeff Newell</w:t>
      </w:r>
      <w:r w:rsidR="00D44FAC" w:rsidRPr="00771185">
        <w:t xml:space="preserve">, </w:t>
      </w:r>
      <w:r w:rsidR="00D44FAC">
        <w:t>Deputy</w:t>
      </w:r>
      <w:r w:rsidR="00D44FAC" w:rsidRPr="00771185">
        <w:t xml:space="preserve"> Director for </w:t>
      </w:r>
      <w:r w:rsidR="00D44FAC">
        <w:t xml:space="preserve">Strategic Initiatives, </w:t>
      </w:r>
      <w:hyperlink r:id="rId11" w:history="1">
        <w:r w:rsidR="00D44FAC" w:rsidRPr="00CE4B42">
          <w:rPr>
            <w:rStyle w:val="Hyperlink"/>
          </w:rPr>
          <w:t>jeff.newell@illinois.gov</w:t>
        </w:r>
      </w:hyperlink>
      <w:r>
        <w:t xml:space="preserve">. </w:t>
      </w:r>
    </w:p>
    <w:p w14:paraId="16EC0C6D" w14:textId="120985F8" w:rsidR="00E80D8F" w:rsidRDefault="00E80D8F" w:rsidP="00504EE4">
      <w:pPr>
        <w:rPr>
          <w:u w:val="single"/>
        </w:rPr>
      </w:pPr>
    </w:p>
    <w:p w14:paraId="03279801" w14:textId="4DDF9F38" w:rsidR="4AF0E82E" w:rsidRDefault="4AF0E82E" w:rsidP="00504EE4">
      <w:pPr>
        <w:jc w:val="both"/>
      </w:pPr>
      <w:r w:rsidRPr="0A767AFD">
        <w:rPr>
          <w:u w:val="single"/>
        </w:rPr>
        <w:t>Reporting</w:t>
      </w:r>
    </w:p>
    <w:p w14:paraId="58990237" w14:textId="22D13F95" w:rsidR="4AF0E82E" w:rsidRDefault="4AF0E82E" w:rsidP="00504EE4">
      <w:pPr>
        <w:jc w:val="both"/>
      </w:pPr>
      <w:r w:rsidRPr="2D0D0851">
        <w:t>Colleges are required to submit quarterly reports</w:t>
      </w:r>
      <w:r w:rsidR="6FC4D7FF" w:rsidRPr="2D0D0851">
        <w:t xml:space="preserve"> (narrative and financial)</w:t>
      </w:r>
      <w:r w:rsidRPr="2D0D0851">
        <w:t xml:space="preserve">. A final </w:t>
      </w:r>
      <w:r w:rsidR="67D673CA" w:rsidRPr="2D0D0851">
        <w:t xml:space="preserve">summary brief </w:t>
      </w:r>
      <w:r w:rsidR="0A140ECE" w:rsidRPr="2D0D0851">
        <w:t>and close out report</w:t>
      </w:r>
      <w:r w:rsidR="78E1A400" w:rsidRPr="2D0D0851">
        <w:t xml:space="preserve"> is required a</w:t>
      </w:r>
      <w:r w:rsidRPr="2D0D0851">
        <w:t xml:space="preserve">t the end of the </w:t>
      </w:r>
      <w:r w:rsidR="03FE312F" w:rsidRPr="2D0D0851">
        <w:t>funding period</w:t>
      </w:r>
      <w:r w:rsidRPr="2D0D0851">
        <w:t>.</w:t>
      </w:r>
    </w:p>
    <w:p w14:paraId="4396B1A2" w14:textId="70F9BA6C" w:rsidR="00D165AE" w:rsidRDefault="00D165AE" w:rsidP="00504EE4">
      <w:pPr>
        <w:jc w:val="both"/>
      </w:pPr>
    </w:p>
    <w:sectPr w:rsidR="00D165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1865" w14:textId="77777777" w:rsidR="008D5690" w:rsidRDefault="008D5690">
      <w:r>
        <w:separator/>
      </w:r>
    </w:p>
  </w:endnote>
  <w:endnote w:type="continuationSeparator" w:id="0">
    <w:p w14:paraId="29DD6437" w14:textId="77777777" w:rsidR="008D5690" w:rsidRDefault="008D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D9834" w14:paraId="1B1EEA94" w14:textId="77777777" w:rsidTr="195D9834">
      <w:tc>
        <w:tcPr>
          <w:tcW w:w="3120" w:type="dxa"/>
        </w:tcPr>
        <w:p w14:paraId="22302F67" w14:textId="25AF2839" w:rsidR="195D9834" w:rsidRDefault="195D9834" w:rsidP="195D9834">
          <w:pPr>
            <w:pStyle w:val="Header"/>
            <w:ind w:left="-115"/>
          </w:pPr>
        </w:p>
      </w:tc>
      <w:tc>
        <w:tcPr>
          <w:tcW w:w="3120" w:type="dxa"/>
        </w:tcPr>
        <w:p w14:paraId="068D015A" w14:textId="635157D4" w:rsidR="195D9834" w:rsidRDefault="195D9834" w:rsidP="195D9834">
          <w:pPr>
            <w:pStyle w:val="Header"/>
            <w:jc w:val="center"/>
          </w:pPr>
        </w:p>
      </w:tc>
      <w:tc>
        <w:tcPr>
          <w:tcW w:w="3120" w:type="dxa"/>
        </w:tcPr>
        <w:p w14:paraId="02E0AF32" w14:textId="603BFD37" w:rsidR="195D9834" w:rsidRDefault="195D9834" w:rsidP="195D9834">
          <w:pPr>
            <w:pStyle w:val="Header"/>
            <w:ind w:right="-115"/>
            <w:jc w:val="right"/>
          </w:pPr>
        </w:p>
      </w:tc>
    </w:tr>
  </w:tbl>
  <w:p w14:paraId="757E35C5" w14:textId="5252A6A1" w:rsidR="195D9834" w:rsidRDefault="195D9834" w:rsidP="195D9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9B4C" w14:textId="77777777" w:rsidR="008D5690" w:rsidRDefault="008D5690">
      <w:r>
        <w:separator/>
      </w:r>
    </w:p>
  </w:footnote>
  <w:footnote w:type="continuationSeparator" w:id="0">
    <w:p w14:paraId="701A7864" w14:textId="77777777" w:rsidR="008D5690" w:rsidRDefault="008D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1C23" w14:textId="77777777" w:rsidR="008D07F4" w:rsidRDefault="008D0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DE"/>
    <w:multiLevelType w:val="hybridMultilevel"/>
    <w:tmpl w:val="4E3A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3E4B"/>
    <w:multiLevelType w:val="hybridMultilevel"/>
    <w:tmpl w:val="11B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5BAE"/>
    <w:multiLevelType w:val="multilevel"/>
    <w:tmpl w:val="EFAA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A1DD2"/>
    <w:multiLevelType w:val="multilevel"/>
    <w:tmpl w:val="677207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035"/>
    <w:multiLevelType w:val="hybridMultilevel"/>
    <w:tmpl w:val="303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1A3"/>
    <w:multiLevelType w:val="hybridMultilevel"/>
    <w:tmpl w:val="DC4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3E26"/>
    <w:multiLevelType w:val="hybridMultilevel"/>
    <w:tmpl w:val="FB882A46"/>
    <w:lvl w:ilvl="0" w:tplc="3D427FA2">
      <w:start w:val="1"/>
      <w:numFmt w:val="decimal"/>
      <w:lvlText w:val="%1)"/>
      <w:lvlJc w:val="left"/>
      <w:pPr>
        <w:ind w:left="720" w:hanging="360"/>
      </w:pPr>
    </w:lvl>
    <w:lvl w:ilvl="1" w:tplc="F738BBDC">
      <w:start w:val="1"/>
      <w:numFmt w:val="lowerLetter"/>
      <w:lvlText w:val="%2."/>
      <w:lvlJc w:val="left"/>
      <w:pPr>
        <w:ind w:left="1440" w:hanging="360"/>
      </w:pPr>
    </w:lvl>
    <w:lvl w:ilvl="2" w:tplc="653C0E6E">
      <w:start w:val="1"/>
      <w:numFmt w:val="lowerRoman"/>
      <w:lvlText w:val="%3."/>
      <w:lvlJc w:val="right"/>
      <w:pPr>
        <w:ind w:left="2160" w:hanging="180"/>
      </w:pPr>
    </w:lvl>
    <w:lvl w:ilvl="3" w:tplc="05BA3048">
      <w:start w:val="1"/>
      <w:numFmt w:val="decimal"/>
      <w:lvlText w:val="%4."/>
      <w:lvlJc w:val="left"/>
      <w:pPr>
        <w:ind w:left="2880" w:hanging="360"/>
      </w:pPr>
    </w:lvl>
    <w:lvl w:ilvl="4" w:tplc="B748F31A">
      <w:start w:val="1"/>
      <w:numFmt w:val="lowerLetter"/>
      <w:lvlText w:val="%5."/>
      <w:lvlJc w:val="left"/>
      <w:pPr>
        <w:ind w:left="3600" w:hanging="360"/>
      </w:pPr>
    </w:lvl>
    <w:lvl w:ilvl="5" w:tplc="ADFAF126">
      <w:start w:val="1"/>
      <w:numFmt w:val="lowerRoman"/>
      <w:lvlText w:val="%6."/>
      <w:lvlJc w:val="right"/>
      <w:pPr>
        <w:ind w:left="4320" w:hanging="180"/>
      </w:pPr>
    </w:lvl>
    <w:lvl w:ilvl="6" w:tplc="EEF2695C">
      <w:start w:val="1"/>
      <w:numFmt w:val="decimal"/>
      <w:lvlText w:val="%7."/>
      <w:lvlJc w:val="left"/>
      <w:pPr>
        <w:ind w:left="5040" w:hanging="360"/>
      </w:pPr>
    </w:lvl>
    <w:lvl w:ilvl="7" w:tplc="5CFA4D64">
      <w:start w:val="1"/>
      <w:numFmt w:val="lowerLetter"/>
      <w:lvlText w:val="%8."/>
      <w:lvlJc w:val="left"/>
      <w:pPr>
        <w:ind w:left="5760" w:hanging="360"/>
      </w:pPr>
    </w:lvl>
    <w:lvl w:ilvl="8" w:tplc="496059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7EA8"/>
    <w:multiLevelType w:val="multilevel"/>
    <w:tmpl w:val="8A1A82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30064"/>
    <w:multiLevelType w:val="multilevel"/>
    <w:tmpl w:val="451C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D5790"/>
    <w:multiLevelType w:val="hybridMultilevel"/>
    <w:tmpl w:val="C1FECEF4"/>
    <w:lvl w:ilvl="0" w:tplc="E96EA71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E5EF4"/>
    <w:multiLevelType w:val="multilevel"/>
    <w:tmpl w:val="FF9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047E1"/>
    <w:multiLevelType w:val="hybridMultilevel"/>
    <w:tmpl w:val="73786298"/>
    <w:lvl w:ilvl="0" w:tplc="BA9CA1C8">
      <w:start w:val="1"/>
      <w:numFmt w:val="decimal"/>
      <w:lvlText w:val="%1)"/>
      <w:lvlJc w:val="left"/>
      <w:pPr>
        <w:ind w:left="720" w:hanging="360"/>
      </w:pPr>
    </w:lvl>
    <w:lvl w:ilvl="1" w:tplc="1102EACA">
      <w:start w:val="1"/>
      <w:numFmt w:val="lowerLetter"/>
      <w:lvlText w:val="%2."/>
      <w:lvlJc w:val="left"/>
      <w:pPr>
        <w:ind w:left="1440" w:hanging="360"/>
      </w:pPr>
    </w:lvl>
    <w:lvl w:ilvl="2" w:tplc="0E424E56">
      <w:start w:val="1"/>
      <w:numFmt w:val="lowerRoman"/>
      <w:lvlText w:val="%3."/>
      <w:lvlJc w:val="right"/>
      <w:pPr>
        <w:ind w:left="2160" w:hanging="180"/>
      </w:pPr>
    </w:lvl>
    <w:lvl w:ilvl="3" w:tplc="A9E4270C">
      <w:start w:val="1"/>
      <w:numFmt w:val="decimal"/>
      <w:lvlText w:val="%4."/>
      <w:lvlJc w:val="left"/>
      <w:pPr>
        <w:ind w:left="2880" w:hanging="360"/>
      </w:pPr>
    </w:lvl>
    <w:lvl w:ilvl="4" w:tplc="3C5C12DC">
      <w:start w:val="1"/>
      <w:numFmt w:val="lowerLetter"/>
      <w:lvlText w:val="%5."/>
      <w:lvlJc w:val="left"/>
      <w:pPr>
        <w:ind w:left="3600" w:hanging="360"/>
      </w:pPr>
    </w:lvl>
    <w:lvl w:ilvl="5" w:tplc="EAA697CE">
      <w:start w:val="1"/>
      <w:numFmt w:val="lowerRoman"/>
      <w:lvlText w:val="%6."/>
      <w:lvlJc w:val="right"/>
      <w:pPr>
        <w:ind w:left="4320" w:hanging="180"/>
      </w:pPr>
    </w:lvl>
    <w:lvl w:ilvl="6" w:tplc="49DE3BEE">
      <w:start w:val="1"/>
      <w:numFmt w:val="decimal"/>
      <w:lvlText w:val="%7."/>
      <w:lvlJc w:val="left"/>
      <w:pPr>
        <w:ind w:left="5040" w:hanging="360"/>
      </w:pPr>
    </w:lvl>
    <w:lvl w:ilvl="7" w:tplc="8F00736C">
      <w:start w:val="1"/>
      <w:numFmt w:val="lowerLetter"/>
      <w:lvlText w:val="%8."/>
      <w:lvlJc w:val="left"/>
      <w:pPr>
        <w:ind w:left="5760" w:hanging="360"/>
      </w:pPr>
    </w:lvl>
    <w:lvl w:ilvl="8" w:tplc="816803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271B"/>
    <w:multiLevelType w:val="hybridMultilevel"/>
    <w:tmpl w:val="DC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A1165"/>
    <w:multiLevelType w:val="hybridMultilevel"/>
    <w:tmpl w:val="2C22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66334"/>
    <w:multiLevelType w:val="multilevel"/>
    <w:tmpl w:val="3DC86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2936944">
    <w:abstractNumId w:val="6"/>
  </w:num>
  <w:num w:numId="2" w16cid:durableId="160312319">
    <w:abstractNumId w:val="11"/>
  </w:num>
  <w:num w:numId="3" w16cid:durableId="1558322196">
    <w:abstractNumId w:val="7"/>
  </w:num>
  <w:num w:numId="4" w16cid:durableId="1958676936">
    <w:abstractNumId w:val="3"/>
  </w:num>
  <w:num w:numId="5" w16cid:durableId="301008779">
    <w:abstractNumId w:val="14"/>
  </w:num>
  <w:num w:numId="6" w16cid:durableId="2122531289">
    <w:abstractNumId w:val="0"/>
  </w:num>
  <w:num w:numId="7" w16cid:durableId="2141410850">
    <w:abstractNumId w:val="5"/>
  </w:num>
  <w:num w:numId="8" w16cid:durableId="1653215601">
    <w:abstractNumId w:val="9"/>
  </w:num>
  <w:num w:numId="9" w16cid:durableId="1246496916">
    <w:abstractNumId w:val="10"/>
  </w:num>
  <w:num w:numId="10" w16cid:durableId="1056199527">
    <w:abstractNumId w:val="8"/>
  </w:num>
  <w:num w:numId="11" w16cid:durableId="454371608">
    <w:abstractNumId w:val="13"/>
  </w:num>
  <w:num w:numId="12" w16cid:durableId="790560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659469">
    <w:abstractNumId w:val="2"/>
  </w:num>
  <w:num w:numId="14" w16cid:durableId="567691551">
    <w:abstractNumId w:val="12"/>
  </w:num>
  <w:num w:numId="15" w16cid:durableId="1991598581">
    <w:abstractNumId w:val="1"/>
  </w:num>
  <w:num w:numId="16" w16cid:durableId="1419985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F4"/>
    <w:rsid w:val="00002321"/>
    <w:rsid w:val="000058F3"/>
    <w:rsid w:val="000166DD"/>
    <w:rsid w:val="0004013D"/>
    <w:rsid w:val="00042BCC"/>
    <w:rsid w:val="000444C5"/>
    <w:rsid w:val="00067985"/>
    <w:rsid w:val="00075087"/>
    <w:rsid w:val="000767D0"/>
    <w:rsid w:val="00082006"/>
    <w:rsid w:val="00087CBC"/>
    <w:rsid w:val="00093896"/>
    <w:rsid w:val="00094391"/>
    <w:rsid w:val="000A39AD"/>
    <w:rsid w:val="000C03CD"/>
    <w:rsid w:val="000C320C"/>
    <w:rsid w:val="000C3C73"/>
    <w:rsid w:val="000D772A"/>
    <w:rsid w:val="000F07E9"/>
    <w:rsid w:val="0013013C"/>
    <w:rsid w:val="001713F7"/>
    <w:rsid w:val="00187505"/>
    <w:rsid w:val="001A12E1"/>
    <w:rsid w:val="001B1876"/>
    <w:rsid w:val="001C449E"/>
    <w:rsid w:val="00203D50"/>
    <w:rsid w:val="0020768C"/>
    <w:rsid w:val="00213551"/>
    <w:rsid w:val="00232384"/>
    <w:rsid w:val="00237D4D"/>
    <w:rsid w:val="0025601B"/>
    <w:rsid w:val="0028472F"/>
    <w:rsid w:val="00291AD4"/>
    <w:rsid w:val="002D4741"/>
    <w:rsid w:val="002E45A4"/>
    <w:rsid w:val="002E5349"/>
    <w:rsid w:val="00301D3C"/>
    <w:rsid w:val="003066E5"/>
    <w:rsid w:val="0032246D"/>
    <w:rsid w:val="00323FA1"/>
    <w:rsid w:val="003400BA"/>
    <w:rsid w:val="003C0A04"/>
    <w:rsid w:val="003C1B4E"/>
    <w:rsid w:val="003C3725"/>
    <w:rsid w:val="00414017"/>
    <w:rsid w:val="0041595C"/>
    <w:rsid w:val="00417B1F"/>
    <w:rsid w:val="0042690C"/>
    <w:rsid w:val="00454A49"/>
    <w:rsid w:val="00465F12"/>
    <w:rsid w:val="00466886"/>
    <w:rsid w:val="00487DC7"/>
    <w:rsid w:val="00493A1B"/>
    <w:rsid w:val="004A33F7"/>
    <w:rsid w:val="004D25E2"/>
    <w:rsid w:val="004D2F6B"/>
    <w:rsid w:val="004D57F9"/>
    <w:rsid w:val="004D7360"/>
    <w:rsid w:val="00501436"/>
    <w:rsid w:val="00504EE4"/>
    <w:rsid w:val="00514DFA"/>
    <w:rsid w:val="005477E9"/>
    <w:rsid w:val="005517C5"/>
    <w:rsid w:val="005A2B96"/>
    <w:rsid w:val="005B6AE0"/>
    <w:rsid w:val="005C58B2"/>
    <w:rsid w:val="005D6577"/>
    <w:rsid w:val="005D7401"/>
    <w:rsid w:val="005F3D32"/>
    <w:rsid w:val="006026D6"/>
    <w:rsid w:val="006100C1"/>
    <w:rsid w:val="00643652"/>
    <w:rsid w:val="00651A1C"/>
    <w:rsid w:val="00660549"/>
    <w:rsid w:val="00662E1E"/>
    <w:rsid w:val="006C3425"/>
    <w:rsid w:val="006E3759"/>
    <w:rsid w:val="006F3350"/>
    <w:rsid w:val="0072084C"/>
    <w:rsid w:val="00726145"/>
    <w:rsid w:val="00727321"/>
    <w:rsid w:val="007314E7"/>
    <w:rsid w:val="00732045"/>
    <w:rsid w:val="007557DA"/>
    <w:rsid w:val="00771185"/>
    <w:rsid w:val="007753E5"/>
    <w:rsid w:val="00795953"/>
    <w:rsid w:val="007C0DF0"/>
    <w:rsid w:val="007F339B"/>
    <w:rsid w:val="008043E8"/>
    <w:rsid w:val="008056A3"/>
    <w:rsid w:val="00834F0F"/>
    <w:rsid w:val="008462C7"/>
    <w:rsid w:val="00854566"/>
    <w:rsid w:val="00856585"/>
    <w:rsid w:val="008629DA"/>
    <w:rsid w:val="00871AA0"/>
    <w:rsid w:val="008839BD"/>
    <w:rsid w:val="008A4390"/>
    <w:rsid w:val="008C30BA"/>
    <w:rsid w:val="008D07F4"/>
    <w:rsid w:val="008D5690"/>
    <w:rsid w:val="008E46D3"/>
    <w:rsid w:val="0090136A"/>
    <w:rsid w:val="009144FB"/>
    <w:rsid w:val="00921AEC"/>
    <w:rsid w:val="009509BF"/>
    <w:rsid w:val="00960676"/>
    <w:rsid w:val="009651C6"/>
    <w:rsid w:val="00994ED0"/>
    <w:rsid w:val="009A6A5B"/>
    <w:rsid w:val="009C7A55"/>
    <w:rsid w:val="009E68BA"/>
    <w:rsid w:val="00A17222"/>
    <w:rsid w:val="00A26C4E"/>
    <w:rsid w:val="00A36A21"/>
    <w:rsid w:val="00A402D7"/>
    <w:rsid w:val="00A43BCC"/>
    <w:rsid w:val="00A65F96"/>
    <w:rsid w:val="00A71029"/>
    <w:rsid w:val="00AB383C"/>
    <w:rsid w:val="00B52618"/>
    <w:rsid w:val="00B62102"/>
    <w:rsid w:val="00B83596"/>
    <w:rsid w:val="00B941A1"/>
    <w:rsid w:val="00BB6AE3"/>
    <w:rsid w:val="00BF2F14"/>
    <w:rsid w:val="00C023F8"/>
    <w:rsid w:val="00C3692A"/>
    <w:rsid w:val="00C54FCB"/>
    <w:rsid w:val="00C7370A"/>
    <w:rsid w:val="00C817C1"/>
    <w:rsid w:val="00C95B41"/>
    <w:rsid w:val="00CC3AC0"/>
    <w:rsid w:val="00CC6373"/>
    <w:rsid w:val="00CF5170"/>
    <w:rsid w:val="00D022D2"/>
    <w:rsid w:val="00D03E47"/>
    <w:rsid w:val="00D165AE"/>
    <w:rsid w:val="00D27BAC"/>
    <w:rsid w:val="00D44FAC"/>
    <w:rsid w:val="00D56668"/>
    <w:rsid w:val="00D604B4"/>
    <w:rsid w:val="00D8553D"/>
    <w:rsid w:val="00D8691C"/>
    <w:rsid w:val="00DB23DA"/>
    <w:rsid w:val="00DC1116"/>
    <w:rsid w:val="00DD722D"/>
    <w:rsid w:val="00DE2E68"/>
    <w:rsid w:val="00DF1A3A"/>
    <w:rsid w:val="00DF7AEC"/>
    <w:rsid w:val="00E35236"/>
    <w:rsid w:val="00E5797F"/>
    <w:rsid w:val="00E57EAC"/>
    <w:rsid w:val="00E80D8F"/>
    <w:rsid w:val="00EA0D66"/>
    <w:rsid w:val="00EE50D6"/>
    <w:rsid w:val="00EE75E2"/>
    <w:rsid w:val="00EF0A14"/>
    <w:rsid w:val="00EF5B24"/>
    <w:rsid w:val="00EF6378"/>
    <w:rsid w:val="00F022E9"/>
    <w:rsid w:val="00F25130"/>
    <w:rsid w:val="00F67145"/>
    <w:rsid w:val="00F83345"/>
    <w:rsid w:val="00F86AFB"/>
    <w:rsid w:val="00F92B40"/>
    <w:rsid w:val="00FB3663"/>
    <w:rsid w:val="00FC2951"/>
    <w:rsid w:val="00FD42BC"/>
    <w:rsid w:val="00FF4A11"/>
    <w:rsid w:val="0128AF9F"/>
    <w:rsid w:val="014B12C2"/>
    <w:rsid w:val="01A1F6A8"/>
    <w:rsid w:val="023A6A4D"/>
    <w:rsid w:val="02BCA6A0"/>
    <w:rsid w:val="02D52224"/>
    <w:rsid w:val="02FB50E4"/>
    <w:rsid w:val="0376F208"/>
    <w:rsid w:val="039AE604"/>
    <w:rsid w:val="03FE312F"/>
    <w:rsid w:val="0410BD8B"/>
    <w:rsid w:val="0431AA8C"/>
    <w:rsid w:val="04923EB7"/>
    <w:rsid w:val="04B95305"/>
    <w:rsid w:val="0536B665"/>
    <w:rsid w:val="058E8AF3"/>
    <w:rsid w:val="07088B4B"/>
    <w:rsid w:val="070B735B"/>
    <w:rsid w:val="071FD5ED"/>
    <w:rsid w:val="07BB7E1A"/>
    <w:rsid w:val="07C3350E"/>
    <w:rsid w:val="07DCF8D8"/>
    <w:rsid w:val="08E1816D"/>
    <w:rsid w:val="090AD8EC"/>
    <w:rsid w:val="0941226B"/>
    <w:rsid w:val="09FEBA49"/>
    <w:rsid w:val="0A0E7BC5"/>
    <w:rsid w:val="0A140ECE"/>
    <w:rsid w:val="0A5C46D7"/>
    <w:rsid w:val="0A767AFD"/>
    <w:rsid w:val="0BA19BBD"/>
    <w:rsid w:val="0BC3069A"/>
    <w:rsid w:val="0C1BCF70"/>
    <w:rsid w:val="0CECD76C"/>
    <w:rsid w:val="0D619C4D"/>
    <w:rsid w:val="0DB79FD1"/>
    <w:rsid w:val="0DDE9B4A"/>
    <w:rsid w:val="0E11ED09"/>
    <w:rsid w:val="0E1B09BD"/>
    <w:rsid w:val="0E1DE4C0"/>
    <w:rsid w:val="10260CD1"/>
    <w:rsid w:val="107C1D32"/>
    <w:rsid w:val="10EC47A7"/>
    <w:rsid w:val="122C4B5F"/>
    <w:rsid w:val="12392681"/>
    <w:rsid w:val="1258E873"/>
    <w:rsid w:val="1376352E"/>
    <w:rsid w:val="1412D95F"/>
    <w:rsid w:val="142B05F9"/>
    <w:rsid w:val="15908935"/>
    <w:rsid w:val="15E62F74"/>
    <w:rsid w:val="16F676A8"/>
    <w:rsid w:val="172C5996"/>
    <w:rsid w:val="1750A13F"/>
    <w:rsid w:val="185931E2"/>
    <w:rsid w:val="18A54E67"/>
    <w:rsid w:val="18BE8EDF"/>
    <w:rsid w:val="18C829F7"/>
    <w:rsid w:val="195D9834"/>
    <w:rsid w:val="198F3B32"/>
    <w:rsid w:val="19AA621E"/>
    <w:rsid w:val="19F31DB4"/>
    <w:rsid w:val="1A13142D"/>
    <w:rsid w:val="1A9E105F"/>
    <w:rsid w:val="1ABE4861"/>
    <w:rsid w:val="1ABEC3DE"/>
    <w:rsid w:val="1AD47AD8"/>
    <w:rsid w:val="1AEF78A9"/>
    <w:rsid w:val="1B4F30D8"/>
    <w:rsid w:val="1B8373AE"/>
    <w:rsid w:val="1C39E0C0"/>
    <w:rsid w:val="1C3C9BED"/>
    <w:rsid w:val="1C46C1E5"/>
    <w:rsid w:val="1D48F962"/>
    <w:rsid w:val="1D544746"/>
    <w:rsid w:val="1D9B9B1A"/>
    <w:rsid w:val="1E2A7E5B"/>
    <w:rsid w:val="1E67515F"/>
    <w:rsid w:val="1E9234A3"/>
    <w:rsid w:val="1EA5FD8F"/>
    <w:rsid w:val="1EB1FDF9"/>
    <w:rsid w:val="1F4F6C97"/>
    <w:rsid w:val="1F718182"/>
    <w:rsid w:val="1F743CAF"/>
    <w:rsid w:val="1F7C9363"/>
    <w:rsid w:val="1FBD6183"/>
    <w:rsid w:val="1FC2E9CC"/>
    <w:rsid w:val="20494EF9"/>
    <w:rsid w:val="20728798"/>
    <w:rsid w:val="2164A524"/>
    <w:rsid w:val="2227B869"/>
    <w:rsid w:val="233729E1"/>
    <w:rsid w:val="234495C8"/>
    <w:rsid w:val="2352C9F1"/>
    <w:rsid w:val="24E1F5E1"/>
    <w:rsid w:val="24EE546F"/>
    <w:rsid w:val="2531D0D9"/>
    <w:rsid w:val="25AE9A85"/>
    <w:rsid w:val="25C086A6"/>
    <w:rsid w:val="26CD6D14"/>
    <w:rsid w:val="28364053"/>
    <w:rsid w:val="285D2072"/>
    <w:rsid w:val="28A67295"/>
    <w:rsid w:val="296846FF"/>
    <w:rsid w:val="29EE40A6"/>
    <w:rsid w:val="29F2A71D"/>
    <w:rsid w:val="29F9B161"/>
    <w:rsid w:val="2AD393FE"/>
    <w:rsid w:val="2B493322"/>
    <w:rsid w:val="2BFFA2A1"/>
    <w:rsid w:val="2C457CB6"/>
    <w:rsid w:val="2C4B0C5C"/>
    <w:rsid w:val="2C879EC1"/>
    <w:rsid w:val="2D0D0851"/>
    <w:rsid w:val="2D174670"/>
    <w:rsid w:val="2D79E3B8"/>
    <w:rsid w:val="2DC1E133"/>
    <w:rsid w:val="2DE14D17"/>
    <w:rsid w:val="2E97EBE9"/>
    <w:rsid w:val="2FEC685B"/>
    <w:rsid w:val="307151F2"/>
    <w:rsid w:val="30DABCE2"/>
    <w:rsid w:val="30F20FD8"/>
    <w:rsid w:val="31064217"/>
    <w:rsid w:val="311E7D7F"/>
    <w:rsid w:val="315BC4C9"/>
    <w:rsid w:val="317C028E"/>
    <w:rsid w:val="332FCD36"/>
    <w:rsid w:val="34C8B932"/>
    <w:rsid w:val="34D89360"/>
    <w:rsid w:val="3532424E"/>
    <w:rsid w:val="35A1B371"/>
    <w:rsid w:val="35D8C645"/>
    <w:rsid w:val="3694A201"/>
    <w:rsid w:val="36DDA186"/>
    <w:rsid w:val="3712C8BE"/>
    <w:rsid w:val="3722E9B0"/>
    <w:rsid w:val="37741E32"/>
    <w:rsid w:val="3780947E"/>
    <w:rsid w:val="37FA5171"/>
    <w:rsid w:val="381488F1"/>
    <w:rsid w:val="3959295D"/>
    <w:rsid w:val="39B449CE"/>
    <w:rsid w:val="3A887F5A"/>
    <w:rsid w:val="3AB97E9B"/>
    <w:rsid w:val="3B90EA93"/>
    <w:rsid w:val="3B99764A"/>
    <w:rsid w:val="3BBFB525"/>
    <w:rsid w:val="3CD99684"/>
    <w:rsid w:val="3DE72647"/>
    <w:rsid w:val="3EC88B55"/>
    <w:rsid w:val="3F286A00"/>
    <w:rsid w:val="3F496863"/>
    <w:rsid w:val="3FC3708A"/>
    <w:rsid w:val="40932648"/>
    <w:rsid w:val="4095A5C8"/>
    <w:rsid w:val="411FD03A"/>
    <w:rsid w:val="413708C6"/>
    <w:rsid w:val="4164F201"/>
    <w:rsid w:val="41E20B8C"/>
    <w:rsid w:val="420918FA"/>
    <w:rsid w:val="429A8EBC"/>
    <w:rsid w:val="42A62D90"/>
    <w:rsid w:val="42CDE0F9"/>
    <w:rsid w:val="434A5E57"/>
    <w:rsid w:val="442DEFDA"/>
    <w:rsid w:val="4450100E"/>
    <w:rsid w:val="45DF5E40"/>
    <w:rsid w:val="479F84CF"/>
    <w:rsid w:val="484217C7"/>
    <w:rsid w:val="486A4D34"/>
    <w:rsid w:val="486CF56C"/>
    <w:rsid w:val="48EDA99C"/>
    <w:rsid w:val="49C88224"/>
    <w:rsid w:val="4AF0E82E"/>
    <w:rsid w:val="4C96C6B3"/>
    <w:rsid w:val="4DB69ABD"/>
    <w:rsid w:val="4E585F4D"/>
    <w:rsid w:val="4F1F8A63"/>
    <w:rsid w:val="4F9FAB0E"/>
    <w:rsid w:val="4FCD51AB"/>
    <w:rsid w:val="5003BC24"/>
    <w:rsid w:val="50F62EE5"/>
    <w:rsid w:val="513B5518"/>
    <w:rsid w:val="521B56DB"/>
    <w:rsid w:val="527EE63D"/>
    <w:rsid w:val="548EB38B"/>
    <w:rsid w:val="5498FAF5"/>
    <w:rsid w:val="55591168"/>
    <w:rsid w:val="558620C7"/>
    <w:rsid w:val="55E8FF92"/>
    <w:rsid w:val="560BB297"/>
    <w:rsid w:val="564B33B8"/>
    <w:rsid w:val="566929BF"/>
    <w:rsid w:val="5707B1FC"/>
    <w:rsid w:val="5806F4A9"/>
    <w:rsid w:val="5844D5DE"/>
    <w:rsid w:val="58614A7F"/>
    <w:rsid w:val="5890FC15"/>
    <w:rsid w:val="5A6D78E7"/>
    <w:rsid w:val="5A6EFF1B"/>
    <w:rsid w:val="5A75972F"/>
    <w:rsid w:val="5A7708F4"/>
    <w:rsid w:val="5B87228A"/>
    <w:rsid w:val="5B9FFCD1"/>
    <w:rsid w:val="5C19F6B6"/>
    <w:rsid w:val="5DF1AB47"/>
    <w:rsid w:val="5E081621"/>
    <w:rsid w:val="5E1A74C1"/>
    <w:rsid w:val="5E472D39"/>
    <w:rsid w:val="5F4A7A17"/>
    <w:rsid w:val="5FBD1933"/>
    <w:rsid w:val="5FD5949D"/>
    <w:rsid w:val="60662BC7"/>
    <w:rsid w:val="61CAF8AC"/>
    <w:rsid w:val="620EB125"/>
    <w:rsid w:val="6218D39A"/>
    <w:rsid w:val="64BA82D7"/>
    <w:rsid w:val="6561F412"/>
    <w:rsid w:val="656C9F74"/>
    <w:rsid w:val="65F423D7"/>
    <w:rsid w:val="6605CC25"/>
    <w:rsid w:val="661E27DC"/>
    <w:rsid w:val="663ADE65"/>
    <w:rsid w:val="66A8BCF2"/>
    <w:rsid w:val="67041BBE"/>
    <w:rsid w:val="67750B05"/>
    <w:rsid w:val="67D673CA"/>
    <w:rsid w:val="67F39F8B"/>
    <w:rsid w:val="68998A20"/>
    <w:rsid w:val="68C146BA"/>
    <w:rsid w:val="69432144"/>
    <w:rsid w:val="69B83B40"/>
    <w:rsid w:val="6A8E1E7D"/>
    <w:rsid w:val="6A93A87F"/>
    <w:rsid w:val="6AAD0FAB"/>
    <w:rsid w:val="6AFBED21"/>
    <w:rsid w:val="6B9BE389"/>
    <w:rsid w:val="6BC74395"/>
    <w:rsid w:val="6C6F4FE9"/>
    <w:rsid w:val="6CA3A713"/>
    <w:rsid w:val="6D6DF840"/>
    <w:rsid w:val="6DCCBB06"/>
    <w:rsid w:val="6EA15B41"/>
    <w:rsid w:val="6F0020AC"/>
    <w:rsid w:val="6F50A341"/>
    <w:rsid w:val="6F5722F0"/>
    <w:rsid w:val="6F925AE4"/>
    <w:rsid w:val="6FC4D7FF"/>
    <w:rsid w:val="700DD406"/>
    <w:rsid w:val="7192CF52"/>
    <w:rsid w:val="71BA9942"/>
    <w:rsid w:val="71DB4A4B"/>
    <w:rsid w:val="720279ED"/>
    <w:rsid w:val="7226CB95"/>
    <w:rsid w:val="722C7960"/>
    <w:rsid w:val="726F52FF"/>
    <w:rsid w:val="72860B55"/>
    <w:rsid w:val="72A02C29"/>
    <w:rsid w:val="7349E391"/>
    <w:rsid w:val="748AE804"/>
    <w:rsid w:val="7586EE58"/>
    <w:rsid w:val="759640DE"/>
    <w:rsid w:val="770108F7"/>
    <w:rsid w:val="77B7654B"/>
    <w:rsid w:val="78656F16"/>
    <w:rsid w:val="78BE8F1A"/>
    <w:rsid w:val="78E1A400"/>
    <w:rsid w:val="797FB819"/>
    <w:rsid w:val="79C3EB15"/>
    <w:rsid w:val="7A72B382"/>
    <w:rsid w:val="7AB5E33B"/>
    <w:rsid w:val="7B20893B"/>
    <w:rsid w:val="7B45D3AB"/>
    <w:rsid w:val="7CB2D97A"/>
    <w:rsid w:val="7CB97D65"/>
    <w:rsid w:val="7CE1A40C"/>
    <w:rsid w:val="7E66FA8C"/>
    <w:rsid w:val="7ED7F8A4"/>
    <w:rsid w:val="7F713760"/>
    <w:rsid w:val="7FAC26B0"/>
    <w:rsid w:val="7FB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167D"/>
  <w15:docId w15:val="{A3FB8218-9390-465B-92A3-A548CAD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B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24"/>
    <w:rPr>
      <w:b/>
      <w:bCs/>
      <w:sz w:val="20"/>
      <w:szCs w:val="20"/>
    </w:rPr>
  </w:style>
  <w:style w:type="paragraph" w:styleId="NoSpacing">
    <w:name w:val="No Spacing"/>
    <w:uiPriority w:val="1"/>
    <w:qFormat/>
    <w:rsid w:val="00323F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18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378"/>
  </w:style>
  <w:style w:type="paragraph" w:styleId="Footer">
    <w:name w:val="footer"/>
    <w:basedOn w:val="Normal"/>
    <w:link w:val="FooterChar"/>
    <w:uiPriority w:val="99"/>
    <w:unhideWhenUsed/>
    <w:rsid w:val="00EF6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378"/>
  </w:style>
  <w:style w:type="paragraph" w:styleId="BodyText">
    <w:name w:val="Body Text"/>
    <w:basedOn w:val="Normal"/>
    <w:link w:val="BodyTextChar"/>
    <w:uiPriority w:val="1"/>
    <w:qFormat/>
    <w:rsid w:val="00F86AFB"/>
    <w:pPr>
      <w:widowControl w:val="0"/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86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86AFB"/>
    <w:pPr>
      <w:widowControl w:val="0"/>
      <w:autoSpaceDE w:val="0"/>
      <w:autoSpaceDN w:val="0"/>
      <w:spacing w:line="217" w:lineRule="exact"/>
      <w:ind w:left="107"/>
    </w:pPr>
  </w:style>
  <w:style w:type="paragraph" w:styleId="ListParagraph">
    <w:name w:val="List Paragraph"/>
    <w:basedOn w:val="Normal"/>
    <w:uiPriority w:val="34"/>
    <w:qFormat/>
    <w:rsid w:val="00E5797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5797F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6C4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7B1F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D16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ff.newell@illinoi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ff.newell@illinoi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EA56D653471488E8F5F14587B898B" ma:contentTypeVersion="4" ma:contentTypeDescription="Create a new document." ma:contentTypeScope="" ma:versionID="08e635fde2fe105b57357e874d1881fb">
  <xsd:schema xmlns:xsd="http://www.w3.org/2001/XMLSchema" xmlns:xs="http://www.w3.org/2001/XMLSchema" xmlns:p="http://schemas.microsoft.com/office/2006/metadata/properties" xmlns:ns2="64871ccb-2e51-49c2-9bb4-7a09e48210b9" targetNamespace="http://schemas.microsoft.com/office/2006/metadata/properties" ma:root="true" ma:fieldsID="017521e3bc96e4c70293ef54aa7a3819" ns2:_="">
    <xsd:import namespace="64871ccb-2e51-49c2-9bb4-7a09e4821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1ccb-2e51-49c2-9bb4-7a09e482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06629-BEC6-45C7-AB8C-BD76C69CD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E9690-462E-40A7-ACB4-168BB91A1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631E2-63EA-4A54-9DA9-8805CDBB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71ccb-2e51-49c2-9bb4-7a09e4821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Brown</dc:creator>
  <cp:lastModifiedBy>Newell, Jeff</cp:lastModifiedBy>
  <cp:revision>25</cp:revision>
  <dcterms:created xsi:type="dcterms:W3CDTF">2023-11-09T21:31:00Z</dcterms:created>
  <dcterms:modified xsi:type="dcterms:W3CDTF">2023-11-15T14:44:00Z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0x010100990EA56D653471488E8F5F14587B898B</vt:lpwstr>
  </property>
</Properties>
</file>