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E3A56" w14:textId="77777777" w:rsidR="00C1103E" w:rsidRPr="005F226B" w:rsidRDefault="00BB2A53" w:rsidP="00A45FD9">
      <w:pPr>
        <w:spacing w:after="0" w:line="240" w:lineRule="auto"/>
        <w:jc w:val="center"/>
        <w:rPr>
          <w:rFonts w:ascii="Times New Roman" w:eastAsia="Times New Roman" w:hAnsi="Times New Roman" w:cs="Times New Roman"/>
          <w:b/>
          <w:sz w:val="28"/>
          <w:szCs w:val="28"/>
        </w:rPr>
      </w:pPr>
      <w:r w:rsidRPr="005F226B">
        <w:rPr>
          <w:rFonts w:ascii="Times New Roman" w:eastAsia="Times New Roman" w:hAnsi="Times New Roman" w:cs="Times New Roman"/>
          <w:b/>
          <w:sz w:val="28"/>
          <w:szCs w:val="28"/>
        </w:rPr>
        <w:t xml:space="preserve">Uniform </w:t>
      </w:r>
      <w:r w:rsidR="00E4190F">
        <w:rPr>
          <w:rFonts w:ascii="Times New Roman" w:eastAsia="Times New Roman" w:hAnsi="Times New Roman" w:cs="Times New Roman"/>
          <w:b/>
          <w:sz w:val="28"/>
          <w:szCs w:val="28"/>
        </w:rPr>
        <w:t>Notice of</w:t>
      </w:r>
      <w:r w:rsidR="00C1103E" w:rsidRPr="005F226B">
        <w:rPr>
          <w:rFonts w:ascii="Times New Roman" w:eastAsia="Times New Roman" w:hAnsi="Times New Roman" w:cs="Times New Roman"/>
          <w:b/>
          <w:sz w:val="28"/>
          <w:szCs w:val="28"/>
        </w:rPr>
        <w:t xml:space="preserve"> </w:t>
      </w:r>
      <w:r w:rsidR="00D81AD6" w:rsidRPr="005F226B">
        <w:rPr>
          <w:rFonts w:ascii="Times New Roman" w:eastAsia="Times New Roman" w:hAnsi="Times New Roman" w:cs="Times New Roman"/>
          <w:b/>
          <w:sz w:val="28"/>
          <w:szCs w:val="28"/>
        </w:rPr>
        <w:t xml:space="preserve">Funding </w:t>
      </w:r>
      <w:r w:rsidR="00C1103E" w:rsidRPr="005F226B">
        <w:rPr>
          <w:rFonts w:ascii="Times New Roman" w:eastAsia="Times New Roman" w:hAnsi="Times New Roman" w:cs="Times New Roman"/>
          <w:b/>
          <w:sz w:val="28"/>
          <w:szCs w:val="28"/>
        </w:rPr>
        <w:t>Opportunity</w:t>
      </w:r>
      <w:r w:rsidR="00D43359" w:rsidRPr="005F226B">
        <w:rPr>
          <w:rFonts w:ascii="Times New Roman" w:eastAsia="Times New Roman" w:hAnsi="Times New Roman" w:cs="Times New Roman"/>
          <w:b/>
          <w:sz w:val="28"/>
          <w:szCs w:val="28"/>
        </w:rPr>
        <w:t xml:space="preserve"> (NOFO)</w:t>
      </w:r>
    </w:p>
    <w:p w14:paraId="39D0BF1F" w14:textId="77777777" w:rsidR="00DC39A5" w:rsidRPr="005F226B" w:rsidRDefault="00987170" w:rsidP="00A45FD9">
      <w:pPr>
        <w:contextualSpacing/>
        <w:jc w:val="center"/>
        <w:rPr>
          <w:rFonts w:ascii="Times New Roman" w:hAnsi="Times New Roman" w:cs="Times New Roman"/>
          <w:b/>
          <w:bCs/>
          <w:sz w:val="28"/>
          <w:szCs w:val="28"/>
        </w:rPr>
      </w:pPr>
      <w:r w:rsidRPr="005F226B">
        <w:rPr>
          <w:rFonts w:ascii="Times New Roman" w:hAnsi="Times New Roman" w:cs="Times New Roman"/>
          <w:b/>
          <w:sz w:val="28"/>
          <w:szCs w:val="28"/>
        </w:rPr>
        <w:t xml:space="preserve">Summary </w:t>
      </w:r>
      <w:r w:rsidR="00DC39A5" w:rsidRPr="005F226B">
        <w:rPr>
          <w:rFonts w:ascii="Times New Roman" w:hAnsi="Times New Roman" w:cs="Times New Roman"/>
          <w:b/>
          <w:bCs/>
          <w:sz w:val="28"/>
          <w:szCs w:val="28"/>
        </w:rPr>
        <w:t>Information</w:t>
      </w:r>
    </w:p>
    <w:p w14:paraId="1840E5DA" w14:textId="77777777" w:rsidR="0043526B" w:rsidRDefault="0043526B" w:rsidP="00A45FD9">
      <w:pPr>
        <w:contextualSpacing/>
        <w:jc w:val="both"/>
        <w:rPr>
          <w:rFonts w:cs="Arial Black"/>
          <w:b/>
          <w:bCs/>
        </w:rPr>
      </w:pPr>
    </w:p>
    <w:p w14:paraId="0CBE8AA8" w14:textId="77777777" w:rsidR="004F2AC6" w:rsidRPr="0043526B" w:rsidRDefault="004F2AC6" w:rsidP="00A45FD9">
      <w:pPr>
        <w:contextualSpacing/>
        <w:jc w:val="both"/>
        <w:rPr>
          <w:rFonts w:cs="Arial Black"/>
          <w:b/>
          <w:bCs/>
        </w:rPr>
      </w:pPr>
    </w:p>
    <w:tbl>
      <w:tblPr>
        <w:tblStyle w:val="TableGrid"/>
        <w:tblW w:w="9573" w:type="dxa"/>
        <w:tblLook w:val="04A0" w:firstRow="1" w:lastRow="0" w:firstColumn="1" w:lastColumn="0" w:noHBand="0" w:noVBand="1"/>
      </w:tblPr>
      <w:tblGrid>
        <w:gridCol w:w="445"/>
        <w:gridCol w:w="3600"/>
        <w:gridCol w:w="5528"/>
      </w:tblGrid>
      <w:tr w:rsidR="00DC2AB0" w:rsidRPr="00DC2AB0" w14:paraId="13EF6C61" w14:textId="77777777" w:rsidTr="00E4190F">
        <w:tc>
          <w:tcPr>
            <w:tcW w:w="4045" w:type="dxa"/>
            <w:gridSpan w:val="2"/>
            <w:shd w:val="clear" w:color="auto" w:fill="8DB3E2" w:themeFill="text2" w:themeFillTint="66"/>
          </w:tcPr>
          <w:p w14:paraId="04D9F3D3" w14:textId="2C5274DD" w:rsidR="005F226B" w:rsidRPr="00DC2AB0" w:rsidRDefault="005F226B" w:rsidP="00A45FD9">
            <w:pPr>
              <w:contextualSpacing/>
              <w:jc w:val="both"/>
              <w:rPr>
                <w:rFonts w:ascii="Times New Roman" w:hAnsi="Times New Roman" w:cs="Times New Roman"/>
                <w:b/>
                <w:bCs/>
                <w:sz w:val="24"/>
                <w:szCs w:val="24"/>
              </w:rPr>
            </w:pPr>
          </w:p>
        </w:tc>
        <w:tc>
          <w:tcPr>
            <w:tcW w:w="5528" w:type="dxa"/>
            <w:shd w:val="clear" w:color="auto" w:fill="8DB3E2" w:themeFill="text2" w:themeFillTint="66"/>
          </w:tcPr>
          <w:p w14:paraId="386BA03F" w14:textId="77777777" w:rsidR="005F226B" w:rsidRPr="00DC2AB0" w:rsidRDefault="005F226B" w:rsidP="00A45FD9">
            <w:pPr>
              <w:contextualSpacing/>
              <w:jc w:val="both"/>
              <w:rPr>
                <w:rFonts w:ascii="Times New Roman" w:hAnsi="Times New Roman" w:cs="Times New Roman"/>
                <w:b/>
                <w:bCs/>
                <w:sz w:val="24"/>
                <w:szCs w:val="24"/>
              </w:rPr>
            </w:pPr>
          </w:p>
        </w:tc>
      </w:tr>
      <w:tr w:rsidR="00DC2AB0" w:rsidRPr="00DC2AB0" w14:paraId="70CDC8D1" w14:textId="77777777" w:rsidTr="00E4190F">
        <w:tc>
          <w:tcPr>
            <w:tcW w:w="445" w:type="dxa"/>
            <w:shd w:val="clear" w:color="auto" w:fill="D9D9D9" w:themeFill="background1" w:themeFillShade="D9"/>
            <w:vAlign w:val="center"/>
          </w:tcPr>
          <w:p w14:paraId="631D7065" w14:textId="77777777" w:rsidR="00CA4B4F" w:rsidRPr="00DC2AB0" w:rsidRDefault="00CA4B4F" w:rsidP="00A45FD9">
            <w:pPr>
              <w:pStyle w:val="ListParagraph"/>
              <w:numPr>
                <w:ilvl w:val="0"/>
                <w:numId w:val="9"/>
              </w:numPr>
              <w:jc w:val="both"/>
              <w:rPr>
                <w:rFonts w:ascii="Times New Roman" w:hAnsi="Times New Roman" w:cs="Times New Roman"/>
                <w:b/>
                <w:bCs/>
                <w:sz w:val="24"/>
                <w:szCs w:val="24"/>
              </w:rPr>
            </w:pPr>
          </w:p>
        </w:tc>
        <w:tc>
          <w:tcPr>
            <w:tcW w:w="3600" w:type="dxa"/>
            <w:vAlign w:val="center"/>
          </w:tcPr>
          <w:p w14:paraId="7B6DC481" w14:textId="77777777" w:rsidR="00CA4B4F" w:rsidRPr="00DC2AB0" w:rsidRDefault="00CA4B4F" w:rsidP="00A45FD9">
            <w:pPr>
              <w:contextualSpacing/>
              <w:jc w:val="both"/>
              <w:rPr>
                <w:rFonts w:ascii="Times New Roman" w:hAnsi="Times New Roman" w:cs="Times New Roman"/>
                <w:bCs/>
                <w:sz w:val="24"/>
                <w:szCs w:val="24"/>
              </w:rPr>
            </w:pPr>
            <w:r w:rsidRPr="00DC2AB0">
              <w:rPr>
                <w:rFonts w:ascii="Times New Roman" w:hAnsi="Times New Roman" w:cs="Times New Roman"/>
                <w:bCs/>
                <w:sz w:val="24"/>
                <w:szCs w:val="24"/>
              </w:rPr>
              <w:t>Awarding Agency Name:</w:t>
            </w:r>
            <w:r w:rsidRPr="00DC2AB0">
              <w:rPr>
                <w:rFonts w:ascii="Times New Roman" w:hAnsi="Times New Roman" w:cs="Times New Roman"/>
                <w:bCs/>
                <w:sz w:val="24"/>
                <w:szCs w:val="24"/>
              </w:rPr>
              <w:tab/>
            </w:r>
          </w:p>
        </w:tc>
        <w:tc>
          <w:tcPr>
            <w:tcW w:w="5528" w:type="dxa"/>
          </w:tcPr>
          <w:p w14:paraId="3D1885B2" w14:textId="77777777" w:rsidR="00D43359" w:rsidRPr="00DC2AB0" w:rsidRDefault="00BD659A" w:rsidP="00A45FD9">
            <w:pPr>
              <w:contextualSpacing/>
              <w:jc w:val="both"/>
              <w:rPr>
                <w:rFonts w:ascii="Times New Roman" w:hAnsi="Times New Roman" w:cs="Times New Roman"/>
                <w:bCs/>
                <w:i/>
                <w:sz w:val="24"/>
                <w:szCs w:val="24"/>
              </w:rPr>
            </w:pPr>
            <w:r w:rsidRPr="00DC2AB0">
              <w:rPr>
                <w:rFonts w:ascii="Times New Roman" w:hAnsi="Times New Roman" w:cs="Times New Roman"/>
                <w:bCs/>
                <w:i/>
                <w:sz w:val="24"/>
                <w:szCs w:val="24"/>
              </w:rPr>
              <w:t>Illinois Community College Board (ICCB)</w:t>
            </w:r>
          </w:p>
        </w:tc>
      </w:tr>
      <w:tr w:rsidR="00DC2AB0" w:rsidRPr="00DC2AB0" w14:paraId="1C1E157A" w14:textId="77777777" w:rsidTr="00E4190F">
        <w:tc>
          <w:tcPr>
            <w:tcW w:w="445" w:type="dxa"/>
            <w:shd w:val="clear" w:color="auto" w:fill="D9D9D9" w:themeFill="background1" w:themeFillShade="D9"/>
            <w:vAlign w:val="center"/>
          </w:tcPr>
          <w:p w14:paraId="219DDAE3" w14:textId="77777777" w:rsidR="00A2008A" w:rsidRPr="00DC2AB0" w:rsidRDefault="00A2008A" w:rsidP="00A45FD9">
            <w:pPr>
              <w:pStyle w:val="ListParagraph"/>
              <w:numPr>
                <w:ilvl w:val="0"/>
                <w:numId w:val="9"/>
              </w:numPr>
              <w:jc w:val="both"/>
              <w:rPr>
                <w:rFonts w:ascii="Times New Roman" w:hAnsi="Times New Roman" w:cs="Times New Roman"/>
                <w:b/>
                <w:bCs/>
                <w:sz w:val="24"/>
                <w:szCs w:val="24"/>
              </w:rPr>
            </w:pPr>
          </w:p>
        </w:tc>
        <w:tc>
          <w:tcPr>
            <w:tcW w:w="3600" w:type="dxa"/>
            <w:vAlign w:val="center"/>
          </w:tcPr>
          <w:p w14:paraId="3FE2EBBD" w14:textId="77777777" w:rsidR="00A2008A" w:rsidRPr="00DC2AB0" w:rsidRDefault="00A2008A" w:rsidP="00A45FD9">
            <w:pPr>
              <w:contextualSpacing/>
              <w:jc w:val="both"/>
              <w:rPr>
                <w:rFonts w:ascii="Times New Roman" w:hAnsi="Times New Roman" w:cs="Times New Roman"/>
                <w:bCs/>
                <w:sz w:val="24"/>
                <w:szCs w:val="24"/>
              </w:rPr>
            </w:pPr>
            <w:r w:rsidRPr="00DC2AB0">
              <w:rPr>
                <w:rFonts w:ascii="Times New Roman" w:hAnsi="Times New Roman" w:cs="Times New Roman"/>
                <w:bCs/>
                <w:sz w:val="24"/>
                <w:szCs w:val="24"/>
              </w:rPr>
              <w:t>Agency Contact:</w:t>
            </w:r>
          </w:p>
        </w:tc>
        <w:tc>
          <w:tcPr>
            <w:tcW w:w="5528" w:type="dxa"/>
          </w:tcPr>
          <w:p w14:paraId="7F7A911E" w14:textId="517402E7" w:rsidR="00A2008A" w:rsidRPr="00DC2AB0" w:rsidRDefault="005F226B" w:rsidP="007D43E0">
            <w:pPr>
              <w:contextualSpacing/>
              <w:rPr>
                <w:rFonts w:ascii="Times New Roman" w:hAnsi="Times New Roman" w:cs="Times New Roman"/>
                <w:bCs/>
                <w:i/>
                <w:sz w:val="24"/>
                <w:szCs w:val="24"/>
              </w:rPr>
            </w:pPr>
            <w:r w:rsidRPr="00DC2AB0">
              <w:rPr>
                <w:rFonts w:ascii="Times New Roman" w:hAnsi="Times New Roman" w:cs="Times New Roman"/>
                <w:i/>
                <w:sz w:val="24"/>
                <w:szCs w:val="24"/>
              </w:rPr>
              <w:t xml:space="preserve">Whitney Thompson / (217)558-0318 / </w:t>
            </w:r>
            <w:hyperlink r:id="rId8" w:history="1">
              <w:r w:rsidRPr="00D2113D">
                <w:rPr>
                  <w:rStyle w:val="Hyperlink"/>
                  <w:rFonts w:ascii="Times New Roman" w:hAnsi="Times New Roman" w:cs="Times New Roman"/>
                  <w:i/>
                  <w:sz w:val="24"/>
                  <w:szCs w:val="24"/>
                </w:rPr>
                <w:t>whitney.thompson@illinois.gov</w:t>
              </w:r>
            </w:hyperlink>
            <w:r w:rsidR="00D2113D">
              <w:rPr>
                <w:rStyle w:val="Hyperlink"/>
                <w:rFonts w:ascii="Times New Roman" w:hAnsi="Times New Roman" w:cs="Times New Roman"/>
                <w:i/>
                <w:color w:val="auto"/>
                <w:sz w:val="24"/>
                <w:szCs w:val="24"/>
                <w:u w:val="none"/>
              </w:rPr>
              <w:t xml:space="preserve">  </w:t>
            </w:r>
            <w:r w:rsidRPr="00DC2AB0">
              <w:rPr>
                <w:rFonts w:ascii="Times New Roman" w:hAnsi="Times New Roman" w:cs="Times New Roman"/>
                <w:i/>
                <w:sz w:val="24"/>
                <w:szCs w:val="24"/>
              </w:rPr>
              <w:t xml:space="preserve"> </w:t>
            </w:r>
          </w:p>
        </w:tc>
      </w:tr>
      <w:tr w:rsidR="00DC2AB0" w:rsidRPr="00DC2AB0" w14:paraId="6A8304B1" w14:textId="77777777" w:rsidTr="00E4190F">
        <w:tc>
          <w:tcPr>
            <w:tcW w:w="445" w:type="dxa"/>
            <w:shd w:val="clear" w:color="auto" w:fill="D9D9D9" w:themeFill="background1" w:themeFillShade="D9"/>
            <w:vAlign w:val="center"/>
          </w:tcPr>
          <w:p w14:paraId="492A9A40" w14:textId="77777777" w:rsidR="00A2008A" w:rsidRPr="00DC2AB0" w:rsidRDefault="00A2008A" w:rsidP="00A45FD9">
            <w:pPr>
              <w:pStyle w:val="ListParagraph"/>
              <w:numPr>
                <w:ilvl w:val="0"/>
                <w:numId w:val="9"/>
              </w:numPr>
              <w:jc w:val="both"/>
              <w:rPr>
                <w:rFonts w:ascii="Times New Roman" w:hAnsi="Times New Roman" w:cs="Times New Roman"/>
                <w:b/>
                <w:bCs/>
                <w:sz w:val="24"/>
                <w:szCs w:val="24"/>
              </w:rPr>
            </w:pPr>
          </w:p>
        </w:tc>
        <w:tc>
          <w:tcPr>
            <w:tcW w:w="3600" w:type="dxa"/>
            <w:vAlign w:val="center"/>
          </w:tcPr>
          <w:p w14:paraId="026C542F" w14:textId="77777777" w:rsidR="00A2008A" w:rsidRPr="00DC2AB0" w:rsidRDefault="00A2008A" w:rsidP="00A45FD9">
            <w:pPr>
              <w:contextualSpacing/>
              <w:jc w:val="both"/>
              <w:rPr>
                <w:rFonts w:ascii="Times New Roman" w:hAnsi="Times New Roman" w:cs="Times New Roman"/>
                <w:bCs/>
                <w:sz w:val="24"/>
                <w:szCs w:val="24"/>
              </w:rPr>
            </w:pPr>
            <w:r w:rsidRPr="00DC2AB0">
              <w:rPr>
                <w:rFonts w:ascii="Times New Roman" w:hAnsi="Times New Roman" w:cs="Times New Roman"/>
                <w:bCs/>
                <w:sz w:val="24"/>
                <w:szCs w:val="24"/>
              </w:rPr>
              <w:t>Announcement Type:</w:t>
            </w:r>
          </w:p>
        </w:tc>
        <w:tc>
          <w:tcPr>
            <w:tcW w:w="5528" w:type="dxa"/>
          </w:tcPr>
          <w:p w14:paraId="10E634C4" w14:textId="77777777" w:rsidR="00A2008A" w:rsidRPr="00DC2AB0" w:rsidRDefault="00A2008A" w:rsidP="00A45FD9">
            <w:pPr>
              <w:contextualSpacing/>
              <w:jc w:val="both"/>
              <w:rPr>
                <w:rFonts w:ascii="Times New Roman" w:hAnsi="Times New Roman" w:cs="Times New Roman"/>
                <w:bCs/>
                <w:i/>
                <w:sz w:val="24"/>
                <w:szCs w:val="24"/>
              </w:rPr>
            </w:pPr>
            <w:r w:rsidRPr="00DC2AB0">
              <w:rPr>
                <w:rFonts w:ascii="Times New Roman" w:hAnsi="Times New Roman" w:cs="Times New Roman"/>
                <w:bCs/>
                <w:i/>
                <w:sz w:val="24"/>
                <w:szCs w:val="24"/>
              </w:rPr>
              <w:t xml:space="preserve">Initial announcement   </w:t>
            </w:r>
          </w:p>
        </w:tc>
      </w:tr>
      <w:tr w:rsidR="00DC2AB0" w:rsidRPr="00DC2AB0" w14:paraId="0F413502" w14:textId="77777777" w:rsidTr="00E4190F">
        <w:tc>
          <w:tcPr>
            <w:tcW w:w="445" w:type="dxa"/>
            <w:shd w:val="clear" w:color="auto" w:fill="D9D9D9" w:themeFill="background1" w:themeFillShade="D9"/>
            <w:vAlign w:val="center"/>
          </w:tcPr>
          <w:p w14:paraId="3F57E1B4" w14:textId="77777777" w:rsidR="004E717F" w:rsidRPr="00DC2AB0" w:rsidRDefault="004E717F" w:rsidP="00A45FD9">
            <w:pPr>
              <w:pStyle w:val="ListParagraph"/>
              <w:numPr>
                <w:ilvl w:val="0"/>
                <w:numId w:val="9"/>
              </w:numPr>
              <w:jc w:val="both"/>
              <w:rPr>
                <w:rFonts w:ascii="Times New Roman" w:hAnsi="Times New Roman" w:cs="Times New Roman"/>
                <w:b/>
                <w:bCs/>
                <w:sz w:val="24"/>
                <w:szCs w:val="24"/>
              </w:rPr>
            </w:pPr>
          </w:p>
        </w:tc>
        <w:tc>
          <w:tcPr>
            <w:tcW w:w="3600" w:type="dxa"/>
            <w:vAlign w:val="center"/>
          </w:tcPr>
          <w:p w14:paraId="297A8358" w14:textId="77777777" w:rsidR="004E717F" w:rsidRPr="00DC2AB0" w:rsidRDefault="004E717F" w:rsidP="00A45FD9">
            <w:pPr>
              <w:contextualSpacing/>
              <w:jc w:val="both"/>
              <w:rPr>
                <w:rFonts w:ascii="Times New Roman" w:hAnsi="Times New Roman" w:cs="Times New Roman"/>
                <w:bCs/>
                <w:sz w:val="24"/>
                <w:szCs w:val="24"/>
              </w:rPr>
            </w:pPr>
            <w:r w:rsidRPr="00DC2AB0">
              <w:rPr>
                <w:rFonts w:ascii="Times New Roman" w:hAnsi="Times New Roman" w:cs="Times New Roman"/>
                <w:bCs/>
                <w:sz w:val="24"/>
                <w:szCs w:val="24"/>
              </w:rPr>
              <w:t>Type of Assistance Instrument:</w:t>
            </w:r>
          </w:p>
        </w:tc>
        <w:tc>
          <w:tcPr>
            <w:tcW w:w="5528" w:type="dxa"/>
          </w:tcPr>
          <w:p w14:paraId="5C0D8F59" w14:textId="77777777" w:rsidR="004E717F" w:rsidRPr="00DC2AB0" w:rsidRDefault="004E717F" w:rsidP="00A45FD9">
            <w:pPr>
              <w:contextualSpacing/>
              <w:jc w:val="both"/>
              <w:rPr>
                <w:rFonts w:ascii="Times New Roman" w:hAnsi="Times New Roman" w:cs="Times New Roman"/>
                <w:bCs/>
                <w:i/>
                <w:sz w:val="24"/>
                <w:szCs w:val="24"/>
              </w:rPr>
            </w:pPr>
            <w:r w:rsidRPr="00DC2AB0">
              <w:rPr>
                <w:rFonts w:ascii="Times New Roman" w:hAnsi="Times New Roman" w:cs="Times New Roman"/>
                <w:bCs/>
                <w:i/>
                <w:sz w:val="24"/>
                <w:szCs w:val="24"/>
              </w:rPr>
              <w:t>Grant</w:t>
            </w:r>
          </w:p>
        </w:tc>
      </w:tr>
      <w:tr w:rsidR="00DC2AB0" w:rsidRPr="00DC2AB0" w14:paraId="0EB0F372" w14:textId="77777777" w:rsidTr="00E4190F">
        <w:tc>
          <w:tcPr>
            <w:tcW w:w="445" w:type="dxa"/>
            <w:shd w:val="clear" w:color="auto" w:fill="D9D9D9" w:themeFill="background1" w:themeFillShade="D9"/>
            <w:vAlign w:val="center"/>
          </w:tcPr>
          <w:p w14:paraId="539B41E0" w14:textId="77777777" w:rsidR="00A2008A" w:rsidRPr="00DC2AB0" w:rsidRDefault="00A2008A" w:rsidP="00A45FD9">
            <w:pPr>
              <w:pStyle w:val="ListParagraph"/>
              <w:numPr>
                <w:ilvl w:val="0"/>
                <w:numId w:val="9"/>
              </w:numPr>
              <w:jc w:val="both"/>
              <w:rPr>
                <w:rFonts w:ascii="Times New Roman" w:hAnsi="Times New Roman" w:cs="Times New Roman"/>
                <w:b/>
                <w:bCs/>
                <w:sz w:val="24"/>
                <w:szCs w:val="24"/>
              </w:rPr>
            </w:pPr>
          </w:p>
        </w:tc>
        <w:tc>
          <w:tcPr>
            <w:tcW w:w="3600" w:type="dxa"/>
            <w:vAlign w:val="center"/>
          </w:tcPr>
          <w:p w14:paraId="063B1867" w14:textId="146C102D" w:rsidR="00A2008A" w:rsidRPr="00DC2AB0" w:rsidRDefault="00A2008A" w:rsidP="00207D13">
            <w:pPr>
              <w:contextualSpacing/>
              <w:rPr>
                <w:rFonts w:ascii="Times New Roman" w:hAnsi="Times New Roman" w:cs="Times New Roman"/>
                <w:bCs/>
                <w:sz w:val="24"/>
                <w:szCs w:val="24"/>
              </w:rPr>
            </w:pPr>
            <w:r w:rsidRPr="005F6736">
              <w:rPr>
                <w:rFonts w:ascii="Times New Roman" w:hAnsi="Times New Roman" w:cs="Times New Roman"/>
                <w:bCs/>
                <w:sz w:val="24"/>
                <w:szCs w:val="24"/>
              </w:rPr>
              <w:t>Funding Opportunity Number</w:t>
            </w:r>
            <w:r w:rsidR="00C96257">
              <w:rPr>
                <w:rFonts w:ascii="Times New Roman" w:hAnsi="Times New Roman" w:cs="Times New Roman"/>
                <w:bCs/>
                <w:sz w:val="24"/>
                <w:szCs w:val="24"/>
              </w:rPr>
              <w:t xml:space="preserve">: </w:t>
            </w:r>
          </w:p>
        </w:tc>
        <w:tc>
          <w:tcPr>
            <w:tcW w:w="5528" w:type="dxa"/>
          </w:tcPr>
          <w:p w14:paraId="2423DBB8" w14:textId="77777777" w:rsidR="00A2008A" w:rsidRPr="00DC2AB0" w:rsidRDefault="00A2008A" w:rsidP="00A45FD9">
            <w:pPr>
              <w:contextualSpacing/>
              <w:jc w:val="both"/>
              <w:rPr>
                <w:rFonts w:ascii="Times New Roman" w:hAnsi="Times New Roman" w:cs="Times New Roman"/>
                <w:bCs/>
                <w:i/>
                <w:sz w:val="24"/>
                <w:szCs w:val="24"/>
              </w:rPr>
            </w:pPr>
            <w:r w:rsidRPr="00DC2AB0">
              <w:rPr>
                <w:rFonts w:ascii="Times New Roman" w:hAnsi="Times New Roman" w:cs="Times New Roman"/>
                <w:bCs/>
                <w:i/>
                <w:sz w:val="24"/>
                <w:szCs w:val="24"/>
              </w:rPr>
              <w:t>Required if this number was assigned by the funding entity</w:t>
            </w:r>
          </w:p>
        </w:tc>
      </w:tr>
      <w:tr w:rsidR="00DC2AB0" w:rsidRPr="00DC2AB0" w14:paraId="3058A6FB" w14:textId="77777777" w:rsidTr="00E4190F">
        <w:tc>
          <w:tcPr>
            <w:tcW w:w="445" w:type="dxa"/>
            <w:shd w:val="clear" w:color="auto" w:fill="D9D9D9" w:themeFill="background1" w:themeFillShade="D9"/>
            <w:vAlign w:val="center"/>
          </w:tcPr>
          <w:p w14:paraId="35780879" w14:textId="77777777" w:rsidR="00A2008A" w:rsidRPr="00DC2AB0" w:rsidRDefault="00A2008A" w:rsidP="00A45FD9">
            <w:pPr>
              <w:pStyle w:val="ListParagraph"/>
              <w:numPr>
                <w:ilvl w:val="0"/>
                <w:numId w:val="9"/>
              </w:numPr>
              <w:jc w:val="both"/>
              <w:rPr>
                <w:rFonts w:ascii="Times New Roman" w:hAnsi="Times New Roman" w:cs="Times New Roman"/>
                <w:b/>
                <w:bCs/>
                <w:sz w:val="24"/>
                <w:szCs w:val="24"/>
              </w:rPr>
            </w:pPr>
          </w:p>
        </w:tc>
        <w:tc>
          <w:tcPr>
            <w:tcW w:w="3600" w:type="dxa"/>
            <w:vAlign w:val="center"/>
          </w:tcPr>
          <w:p w14:paraId="58E9DC4D" w14:textId="77777777" w:rsidR="00A2008A" w:rsidRPr="00DC2AB0" w:rsidRDefault="00A2008A" w:rsidP="00A45FD9">
            <w:pPr>
              <w:contextualSpacing/>
              <w:jc w:val="both"/>
              <w:rPr>
                <w:rFonts w:ascii="Times New Roman" w:hAnsi="Times New Roman" w:cs="Times New Roman"/>
                <w:bCs/>
                <w:sz w:val="24"/>
                <w:szCs w:val="24"/>
              </w:rPr>
            </w:pPr>
            <w:r w:rsidRPr="00DC2AB0">
              <w:rPr>
                <w:rFonts w:ascii="Times New Roman" w:hAnsi="Times New Roman" w:cs="Times New Roman"/>
                <w:bCs/>
                <w:sz w:val="24"/>
                <w:szCs w:val="24"/>
              </w:rPr>
              <w:t>Funding Opportunity Title:</w:t>
            </w:r>
          </w:p>
        </w:tc>
        <w:tc>
          <w:tcPr>
            <w:tcW w:w="5528" w:type="dxa"/>
          </w:tcPr>
          <w:p w14:paraId="1EB567B7" w14:textId="77777777" w:rsidR="00A2008A" w:rsidRPr="00DC2AB0" w:rsidRDefault="00BD659A" w:rsidP="00A45FD9">
            <w:pPr>
              <w:contextualSpacing/>
              <w:jc w:val="both"/>
              <w:rPr>
                <w:rFonts w:ascii="Times New Roman" w:hAnsi="Times New Roman" w:cs="Times New Roman"/>
                <w:bCs/>
                <w:i/>
                <w:sz w:val="24"/>
                <w:szCs w:val="24"/>
              </w:rPr>
            </w:pPr>
            <w:r w:rsidRPr="00DC2AB0">
              <w:rPr>
                <w:rFonts w:ascii="Times New Roman" w:hAnsi="Times New Roman" w:cs="Times New Roman"/>
                <w:bCs/>
                <w:i/>
                <w:sz w:val="24"/>
                <w:szCs w:val="24"/>
              </w:rPr>
              <w:t>FY2019 Perkins Leadership Grant Package</w:t>
            </w:r>
          </w:p>
        </w:tc>
      </w:tr>
      <w:tr w:rsidR="00DC2AB0" w:rsidRPr="00DC2AB0" w14:paraId="38A0F7B9" w14:textId="77777777" w:rsidTr="00E4190F">
        <w:tc>
          <w:tcPr>
            <w:tcW w:w="445" w:type="dxa"/>
            <w:shd w:val="clear" w:color="auto" w:fill="D9D9D9" w:themeFill="background1" w:themeFillShade="D9"/>
            <w:vAlign w:val="center"/>
          </w:tcPr>
          <w:p w14:paraId="540ABA4F" w14:textId="77777777" w:rsidR="00A2008A" w:rsidRPr="00DC2AB0" w:rsidRDefault="00A2008A" w:rsidP="00A45FD9">
            <w:pPr>
              <w:pStyle w:val="ListParagraph"/>
              <w:numPr>
                <w:ilvl w:val="0"/>
                <w:numId w:val="9"/>
              </w:numPr>
              <w:jc w:val="both"/>
              <w:rPr>
                <w:rFonts w:ascii="Times New Roman" w:hAnsi="Times New Roman" w:cs="Times New Roman"/>
                <w:b/>
                <w:sz w:val="24"/>
                <w:szCs w:val="24"/>
              </w:rPr>
            </w:pPr>
          </w:p>
        </w:tc>
        <w:tc>
          <w:tcPr>
            <w:tcW w:w="3600" w:type="dxa"/>
            <w:vAlign w:val="center"/>
          </w:tcPr>
          <w:p w14:paraId="3A9A3B59" w14:textId="77777777" w:rsidR="00A2008A" w:rsidRPr="003A5795" w:rsidRDefault="00A2008A" w:rsidP="00A45FD9">
            <w:pPr>
              <w:contextualSpacing/>
              <w:jc w:val="both"/>
              <w:rPr>
                <w:rFonts w:ascii="Times New Roman" w:hAnsi="Times New Roman" w:cs="Times New Roman"/>
                <w:bCs/>
                <w:sz w:val="24"/>
                <w:szCs w:val="24"/>
              </w:rPr>
            </w:pPr>
            <w:r w:rsidRPr="003A5795">
              <w:rPr>
                <w:rFonts w:ascii="Times New Roman" w:hAnsi="Times New Roman" w:cs="Times New Roman"/>
                <w:sz w:val="24"/>
                <w:szCs w:val="24"/>
              </w:rPr>
              <w:t>CSFA Number:</w:t>
            </w:r>
          </w:p>
        </w:tc>
        <w:tc>
          <w:tcPr>
            <w:tcW w:w="5528" w:type="dxa"/>
          </w:tcPr>
          <w:p w14:paraId="49E38638" w14:textId="77777777" w:rsidR="00A2008A" w:rsidRPr="00DC2AB0" w:rsidRDefault="005F226B" w:rsidP="00A45FD9">
            <w:pPr>
              <w:contextualSpacing/>
              <w:jc w:val="both"/>
              <w:rPr>
                <w:rFonts w:ascii="Times New Roman" w:hAnsi="Times New Roman" w:cs="Times New Roman"/>
                <w:i/>
                <w:sz w:val="24"/>
                <w:szCs w:val="24"/>
              </w:rPr>
            </w:pPr>
            <w:r w:rsidRPr="00DC2AB0">
              <w:rPr>
                <w:rFonts w:ascii="Times New Roman" w:hAnsi="Times New Roman" w:cs="Times New Roman"/>
                <w:i/>
                <w:sz w:val="24"/>
                <w:szCs w:val="24"/>
              </w:rPr>
              <w:t>684-00-0465</w:t>
            </w:r>
          </w:p>
        </w:tc>
      </w:tr>
      <w:tr w:rsidR="00DC2AB0" w:rsidRPr="00DC2AB0" w14:paraId="1CDD98E6" w14:textId="77777777" w:rsidTr="00E4190F">
        <w:tc>
          <w:tcPr>
            <w:tcW w:w="445" w:type="dxa"/>
            <w:shd w:val="clear" w:color="auto" w:fill="D9D9D9" w:themeFill="background1" w:themeFillShade="D9"/>
            <w:vAlign w:val="center"/>
          </w:tcPr>
          <w:p w14:paraId="124C44D5" w14:textId="77777777" w:rsidR="00A2008A" w:rsidRPr="00DC2AB0" w:rsidRDefault="00A2008A" w:rsidP="00A45FD9">
            <w:pPr>
              <w:pStyle w:val="ListParagraph"/>
              <w:numPr>
                <w:ilvl w:val="0"/>
                <w:numId w:val="9"/>
              </w:numPr>
              <w:jc w:val="both"/>
              <w:rPr>
                <w:rFonts w:ascii="Times New Roman" w:hAnsi="Times New Roman" w:cs="Times New Roman"/>
                <w:b/>
                <w:bCs/>
                <w:sz w:val="24"/>
                <w:szCs w:val="24"/>
              </w:rPr>
            </w:pPr>
          </w:p>
        </w:tc>
        <w:tc>
          <w:tcPr>
            <w:tcW w:w="3600" w:type="dxa"/>
            <w:vAlign w:val="center"/>
          </w:tcPr>
          <w:p w14:paraId="12F963F1" w14:textId="77777777" w:rsidR="00A2008A" w:rsidRPr="003A5795" w:rsidRDefault="00A2008A" w:rsidP="00A45FD9">
            <w:pPr>
              <w:contextualSpacing/>
              <w:jc w:val="both"/>
              <w:rPr>
                <w:rFonts w:ascii="Times New Roman" w:hAnsi="Times New Roman" w:cs="Times New Roman"/>
                <w:bCs/>
                <w:sz w:val="24"/>
                <w:szCs w:val="24"/>
              </w:rPr>
            </w:pPr>
            <w:r w:rsidRPr="003A5795">
              <w:rPr>
                <w:rFonts w:ascii="Times New Roman" w:hAnsi="Times New Roman" w:cs="Times New Roman"/>
                <w:bCs/>
                <w:sz w:val="24"/>
                <w:szCs w:val="24"/>
              </w:rPr>
              <w:t>CSFA Popular Name:</w:t>
            </w:r>
          </w:p>
        </w:tc>
        <w:tc>
          <w:tcPr>
            <w:tcW w:w="5528" w:type="dxa"/>
          </w:tcPr>
          <w:p w14:paraId="047BCFC0" w14:textId="77777777" w:rsidR="00A2008A" w:rsidRPr="00DC2AB0" w:rsidRDefault="005F226B" w:rsidP="00A45FD9">
            <w:pPr>
              <w:contextualSpacing/>
              <w:jc w:val="both"/>
              <w:rPr>
                <w:rFonts w:ascii="Times New Roman" w:hAnsi="Times New Roman" w:cs="Times New Roman"/>
                <w:bCs/>
                <w:i/>
                <w:sz w:val="24"/>
                <w:szCs w:val="24"/>
              </w:rPr>
            </w:pPr>
            <w:r w:rsidRPr="00DC2AB0">
              <w:rPr>
                <w:rFonts w:ascii="Times New Roman" w:hAnsi="Times New Roman" w:cs="Times New Roman"/>
                <w:bCs/>
                <w:i/>
                <w:sz w:val="24"/>
                <w:szCs w:val="24"/>
              </w:rPr>
              <w:t>Career and Technical Education</w:t>
            </w:r>
            <w:r w:rsidR="00DC2AB0" w:rsidRPr="00DC2AB0">
              <w:rPr>
                <w:rFonts w:ascii="Times New Roman" w:hAnsi="Times New Roman" w:cs="Times New Roman"/>
                <w:bCs/>
                <w:i/>
                <w:sz w:val="24"/>
                <w:szCs w:val="24"/>
              </w:rPr>
              <w:t xml:space="preserve"> Leadership</w:t>
            </w:r>
          </w:p>
        </w:tc>
      </w:tr>
      <w:tr w:rsidR="00DC2AB0" w:rsidRPr="00DC2AB0" w14:paraId="47C312B8" w14:textId="77777777" w:rsidTr="00E4190F">
        <w:tc>
          <w:tcPr>
            <w:tcW w:w="445" w:type="dxa"/>
            <w:shd w:val="clear" w:color="auto" w:fill="D9D9D9" w:themeFill="background1" w:themeFillShade="D9"/>
            <w:vAlign w:val="center"/>
          </w:tcPr>
          <w:p w14:paraId="7C3F601B" w14:textId="77777777" w:rsidR="00A2008A" w:rsidRPr="00DC2AB0" w:rsidRDefault="00A2008A" w:rsidP="00A45FD9">
            <w:pPr>
              <w:pStyle w:val="ListParagraph"/>
              <w:numPr>
                <w:ilvl w:val="0"/>
                <w:numId w:val="9"/>
              </w:numPr>
              <w:jc w:val="both"/>
              <w:rPr>
                <w:rFonts w:ascii="Times New Roman" w:hAnsi="Times New Roman" w:cs="Times New Roman"/>
                <w:b/>
                <w:bCs/>
                <w:sz w:val="24"/>
                <w:szCs w:val="24"/>
              </w:rPr>
            </w:pPr>
          </w:p>
        </w:tc>
        <w:tc>
          <w:tcPr>
            <w:tcW w:w="3600" w:type="dxa"/>
            <w:vAlign w:val="center"/>
          </w:tcPr>
          <w:p w14:paraId="2656E0A0" w14:textId="77777777" w:rsidR="00A2008A" w:rsidRPr="003A5795" w:rsidRDefault="00A2008A" w:rsidP="00A45FD9">
            <w:pPr>
              <w:contextualSpacing/>
              <w:jc w:val="both"/>
              <w:rPr>
                <w:rFonts w:ascii="Times New Roman" w:hAnsi="Times New Roman" w:cs="Times New Roman"/>
                <w:bCs/>
                <w:sz w:val="24"/>
                <w:szCs w:val="24"/>
              </w:rPr>
            </w:pPr>
            <w:r w:rsidRPr="003A5795">
              <w:rPr>
                <w:rFonts w:ascii="Times New Roman" w:hAnsi="Times New Roman" w:cs="Times New Roman"/>
                <w:bCs/>
                <w:sz w:val="24"/>
                <w:szCs w:val="24"/>
              </w:rPr>
              <w:t>CFDA Number(s):</w:t>
            </w:r>
          </w:p>
        </w:tc>
        <w:tc>
          <w:tcPr>
            <w:tcW w:w="5528" w:type="dxa"/>
          </w:tcPr>
          <w:p w14:paraId="6DF4147E" w14:textId="77777777" w:rsidR="00A2008A" w:rsidRPr="00DC2AB0" w:rsidRDefault="005F226B" w:rsidP="00A45FD9">
            <w:pPr>
              <w:contextualSpacing/>
              <w:jc w:val="both"/>
              <w:rPr>
                <w:rFonts w:ascii="Times New Roman" w:hAnsi="Times New Roman" w:cs="Times New Roman"/>
                <w:i/>
                <w:sz w:val="24"/>
                <w:szCs w:val="24"/>
              </w:rPr>
            </w:pPr>
            <w:r w:rsidRPr="00DC2AB0">
              <w:rPr>
                <w:rFonts w:ascii="Times New Roman" w:hAnsi="Times New Roman" w:cs="Times New Roman"/>
                <w:i/>
                <w:sz w:val="24"/>
                <w:szCs w:val="24"/>
              </w:rPr>
              <w:t>84.048</w:t>
            </w:r>
          </w:p>
        </w:tc>
      </w:tr>
      <w:tr w:rsidR="00DC2AB0" w:rsidRPr="00DC2AB0" w14:paraId="464E505F" w14:textId="77777777" w:rsidTr="00E4190F">
        <w:tc>
          <w:tcPr>
            <w:tcW w:w="445" w:type="dxa"/>
            <w:shd w:val="clear" w:color="auto" w:fill="D9D9D9" w:themeFill="background1" w:themeFillShade="D9"/>
            <w:vAlign w:val="center"/>
          </w:tcPr>
          <w:p w14:paraId="21B1FAE2" w14:textId="77777777" w:rsidR="00BD659A" w:rsidRPr="00DC2AB0" w:rsidRDefault="00BD659A" w:rsidP="00A45FD9">
            <w:pPr>
              <w:pStyle w:val="ListParagraph"/>
              <w:numPr>
                <w:ilvl w:val="0"/>
                <w:numId w:val="9"/>
              </w:numPr>
              <w:jc w:val="both"/>
              <w:rPr>
                <w:rFonts w:ascii="Times New Roman" w:hAnsi="Times New Roman" w:cs="Times New Roman"/>
                <w:b/>
                <w:bCs/>
                <w:sz w:val="24"/>
                <w:szCs w:val="24"/>
              </w:rPr>
            </w:pPr>
          </w:p>
        </w:tc>
        <w:tc>
          <w:tcPr>
            <w:tcW w:w="3600" w:type="dxa"/>
            <w:vAlign w:val="center"/>
          </w:tcPr>
          <w:p w14:paraId="43F26201" w14:textId="77777777" w:rsidR="00BD659A" w:rsidRPr="00DC2AB0" w:rsidRDefault="00BD659A" w:rsidP="00A45FD9">
            <w:pPr>
              <w:contextualSpacing/>
              <w:jc w:val="both"/>
              <w:rPr>
                <w:rFonts w:ascii="Times New Roman" w:hAnsi="Times New Roman" w:cs="Times New Roman"/>
                <w:bCs/>
                <w:sz w:val="24"/>
                <w:szCs w:val="24"/>
              </w:rPr>
            </w:pPr>
            <w:r w:rsidRPr="00DC2AB0">
              <w:rPr>
                <w:rFonts w:ascii="Times New Roman" w:hAnsi="Times New Roman" w:cs="Times New Roman"/>
                <w:bCs/>
                <w:sz w:val="24"/>
                <w:szCs w:val="24"/>
              </w:rPr>
              <w:t>Grant Period</w:t>
            </w:r>
          </w:p>
        </w:tc>
        <w:tc>
          <w:tcPr>
            <w:tcW w:w="5528" w:type="dxa"/>
          </w:tcPr>
          <w:p w14:paraId="44A69927" w14:textId="055F13DD" w:rsidR="00BD659A" w:rsidRPr="00DC2AB0" w:rsidRDefault="00D2113D" w:rsidP="00D2113D">
            <w:pPr>
              <w:contextualSpacing/>
              <w:jc w:val="both"/>
              <w:rPr>
                <w:rFonts w:ascii="Times New Roman" w:hAnsi="Times New Roman" w:cs="Times New Roman"/>
                <w:bCs/>
                <w:i/>
                <w:sz w:val="24"/>
                <w:szCs w:val="24"/>
              </w:rPr>
            </w:pPr>
            <w:r>
              <w:rPr>
                <w:rFonts w:ascii="Times New Roman" w:hAnsi="Times New Roman" w:cs="Times New Roman"/>
                <w:bCs/>
                <w:i/>
                <w:sz w:val="24"/>
                <w:szCs w:val="24"/>
              </w:rPr>
              <w:t>January 01, 2019</w:t>
            </w:r>
            <w:r w:rsidR="00BD659A" w:rsidRPr="00DC2AB0">
              <w:rPr>
                <w:rFonts w:ascii="Times New Roman" w:hAnsi="Times New Roman" w:cs="Times New Roman"/>
                <w:bCs/>
                <w:i/>
                <w:sz w:val="24"/>
                <w:szCs w:val="24"/>
              </w:rPr>
              <w:t xml:space="preserve"> </w:t>
            </w:r>
            <w:r>
              <w:rPr>
                <w:rFonts w:ascii="Times New Roman" w:hAnsi="Times New Roman" w:cs="Times New Roman"/>
                <w:bCs/>
                <w:i/>
                <w:sz w:val="24"/>
                <w:szCs w:val="24"/>
              </w:rPr>
              <w:t>–</w:t>
            </w:r>
            <w:r w:rsidR="00BD659A" w:rsidRPr="00DC2AB0">
              <w:rPr>
                <w:rFonts w:ascii="Times New Roman" w:hAnsi="Times New Roman" w:cs="Times New Roman"/>
                <w:bCs/>
                <w:i/>
                <w:sz w:val="24"/>
                <w:szCs w:val="24"/>
              </w:rPr>
              <w:t xml:space="preserve"> </w:t>
            </w:r>
            <w:r>
              <w:rPr>
                <w:rFonts w:ascii="Times New Roman" w:hAnsi="Times New Roman" w:cs="Times New Roman"/>
                <w:bCs/>
                <w:i/>
                <w:sz w:val="24"/>
                <w:szCs w:val="24"/>
              </w:rPr>
              <w:t>June 30, 2020</w:t>
            </w:r>
          </w:p>
        </w:tc>
      </w:tr>
      <w:tr w:rsidR="00DC2AB0" w:rsidRPr="00DC2AB0" w14:paraId="52973E74" w14:textId="77777777" w:rsidTr="00D2113D">
        <w:trPr>
          <w:trHeight w:val="386"/>
        </w:trPr>
        <w:tc>
          <w:tcPr>
            <w:tcW w:w="445" w:type="dxa"/>
            <w:shd w:val="clear" w:color="auto" w:fill="D9D9D9" w:themeFill="background1" w:themeFillShade="D9"/>
            <w:vAlign w:val="center"/>
          </w:tcPr>
          <w:p w14:paraId="456E393C" w14:textId="77777777" w:rsidR="00A2008A" w:rsidRPr="00DC2AB0" w:rsidRDefault="00A2008A" w:rsidP="00A45FD9">
            <w:pPr>
              <w:pStyle w:val="ListParagraph"/>
              <w:numPr>
                <w:ilvl w:val="0"/>
                <w:numId w:val="9"/>
              </w:numPr>
              <w:jc w:val="both"/>
              <w:rPr>
                <w:rFonts w:ascii="Times New Roman" w:hAnsi="Times New Roman" w:cs="Times New Roman"/>
                <w:b/>
                <w:bCs/>
                <w:sz w:val="24"/>
                <w:szCs w:val="24"/>
              </w:rPr>
            </w:pPr>
          </w:p>
        </w:tc>
        <w:tc>
          <w:tcPr>
            <w:tcW w:w="3600" w:type="dxa"/>
            <w:vAlign w:val="center"/>
          </w:tcPr>
          <w:p w14:paraId="30967BC7" w14:textId="77777777" w:rsidR="00A2008A" w:rsidRPr="00DC2AB0" w:rsidRDefault="004E717F" w:rsidP="00A45FD9">
            <w:pPr>
              <w:contextualSpacing/>
              <w:jc w:val="both"/>
              <w:rPr>
                <w:rFonts w:ascii="Times New Roman" w:hAnsi="Times New Roman" w:cs="Times New Roman"/>
                <w:bCs/>
                <w:sz w:val="24"/>
                <w:szCs w:val="24"/>
              </w:rPr>
            </w:pPr>
            <w:r w:rsidRPr="00DC2AB0">
              <w:rPr>
                <w:rFonts w:ascii="Times New Roman" w:hAnsi="Times New Roman" w:cs="Times New Roman"/>
                <w:bCs/>
                <w:sz w:val="24"/>
                <w:szCs w:val="24"/>
              </w:rPr>
              <w:t xml:space="preserve">Anticipated </w:t>
            </w:r>
            <w:r w:rsidR="00A2008A" w:rsidRPr="00DC2AB0">
              <w:rPr>
                <w:rFonts w:ascii="Times New Roman" w:hAnsi="Times New Roman" w:cs="Times New Roman"/>
                <w:bCs/>
                <w:sz w:val="24"/>
                <w:szCs w:val="24"/>
              </w:rPr>
              <w:t>Number of Awards:</w:t>
            </w:r>
          </w:p>
        </w:tc>
        <w:tc>
          <w:tcPr>
            <w:tcW w:w="5528" w:type="dxa"/>
            <w:vAlign w:val="center"/>
          </w:tcPr>
          <w:p w14:paraId="181757FD" w14:textId="77777777" w:rsidR="004E717F" w:rsidRPr="00DC2AB0" w:rsidRDefault="00DC2AB0" w:rsidP="00A45FD9">
            <w:pPr>
              <w:contextualSpacing/>
              <w:jc w:val="both"/>
              <w:rPr>
                <w:rFonts w:ascii="Times New Roman" w:hAnsi="Times New Roman" w:cs="Times New Roman"/>
                <w:bCs/>
                <w:i/>
                <w:sz w:val="24"/>
                <w:szCs w:val="24"/>
              </w:rPr>
            </w:pPr>
            <w:r w:rsidRPr="00DC2AB0">
              <w:rPr>
                <w:rFonts w:ascii="Times New Roman" w:hAnsi="Times New Roman" w:cs="Times New Roman"/>
                <w:bCs/>
                <w:i/>
                <w:sz w:val="24"/>
                <w:szCs w:val="24"/>
              </w:rPr>
              <w:t>10</w:t>
            </w:r>
            <w:r w:rsidR="00BD659A" w:rsidRPr="00DC2AB0">
              <w:rPr>
                <w:rFonts w:ascii="Times New Roman" w:hAnsi="Times New Roman" w:cs="Times New Roman"/>
                <w:bCs/>
                <w:i/>
                <w:sz w:val="24"/>
                <w:szCs w:val="24"/>
              </w:rPr>
              <w:t>-20</w:t>
            </w:r>
          </w:p>
        </w:tc>
      </w:tr>
      <w:tr w:rsidR="00DC2AB0" w:rsidRPr="00DC2AB0" w14:paraId="043D516A" w14:textId="77777777" w:rsidTr="00E4190F">
        <w:tc>
          <w:tcPr>
            <w:tcW w:w="445" w:type="dxa"/>
            <w:shd w:val="clear" w:color="auto" w:fill="D9D9D9" w:themeFill="background1" w:themeFillShade="D9"/>
            <w:vAlign w:val="center"/>
          </w:tcPr>
          <w:p w14:paraId="0F43D52A" w14:textId="77777777" w:rsidR="00A2008A" w:rsidRPr="00DC2AB0" w:rsidRDefault="00A2008A" w:rsidP="00A45FD9">
            <w:pPr>
              <w:pStyle w:val="ListParagraph"/>
              <w:numPr>
                <w:ilvl w:val="0"/>
                <w:numId w:val="9"/>
              </w:numPr>
              <w:jc w:val="both"/>
              <w:rPr>
                <w:rFonts w:ascii="Times New Roman" w:hAnsi="Times New Roman" w:cs="Times New Roman"/>
                <w:b/>
                <w:bCs/>
                <w:sz w:val="24"/>
                <w:szCs w:val="24"/>
              </w:rPr>
            </w:pPr>
          </w:p>
        </w:tc>
        <w:tc>
          <w:tcPr>
            <w:tcW w:w="3600" w:type="dxa"/>
            <w:vAlign w:val="center"/>
          </w:tcPr>
          <w:p w14:paraId="38556AC0" w14:textId="77777777" w:rsidR="00A2008A" w:rsidRPr="00DC2AB0" w:rsidRDefault="00A2008A" w:rsidP="00A45FD9">
            <w:pPr>
              <w:contextualSpacing/>
              <w:jc w:val="both"/>
              <w:rPr>
                <w:rFonts w:ascii="Times New Roman" w:hAnsi="Times New Roman" w:cs="Times New Roman"/>
                <w:bCs/>
                <w:sz w:val="24"/>
                <w:szCs w:val="24"/>
              </w:rPr>
            </w:pPr>
            <w:r w:rsidRPr="00DC2AB0">
              <w:rPr>
                <w:rFonts w:ascii="Times New Roman" w:hAnsi="Times New Roman" w:cs="Times New Roman"/>
                <w:bCs/>
                <w:sz w:val="24"/>
                <w:szCs w:val="24"/>
              </w:rPr>
              <w:t>Estimated Total Program Funding:</w:t>
            </w:r>
          </w:p>
        </w:tc>
        <w:tc>
          <w:tcPr>
            <w:tcW w:w="5528" w:type="dxa"/>
          </w:tcPr>
          <w:p w14:paraId="3FED0DF5" w14:textId="77777777" w:rsidR="00A2008A" w:rsidRPr="00DC2AB0" w:rsidRDefault="00DC2AB0" w:rsidP="00A45FD9">
            <w:pPr>
              <w:contextualSpacing/>
              <w:jc w:val="both"/>
              <w:rPr>
                <w:rFonts w:ascii="Times New Roman" w:hAnsi="Times New Roman" w:cs="Times New Roman"/>
                <w:bCs/>
                <w:i/>
                <w:sz w:val="24"/>
                <w:szCs w:val="24"/>
              </w:rPr>
            </w:pPr>
            <w:r w:rsidRPr="00DC2AB0">
              <w:rPr>
                <w:rFonts w:ascii="Times New Roman" w:hAnsi="Times New Roman" w:cs="Times New Roman"/>
                <w:bCs/>
                <w:i/>
                <w:sz w:val="24"/>
                <w:szCs w:val="24"/>
              </w:rPr>
              <w:t>$500,000-$1,000,000</w:t>
            </w:r>
          </w:p>
        </w:tc>
      </w:tr>
      <w:tr w:rsidR="00DC2AB0" w:rsidRPr="00DC2AB0" w14:paraId="4388784F" w14:textId="77777777" w:rsidTr="00E4190F">
        <w:tc>
          <w:tcPr>
            <w:tcW w:w="445" w:type="dxa"/>
            <w:shd w:val="clear" w:color="auto" w:fill="D9D9D9" w:themeFill="background1" w:themeFillShade="D9"/>
            <w:vAlign w:val="center"/>
          </w:tcPr>
          <w:p w14:paraId="3F690814" w14:textId="77777777" w:rsidR="00A2008A" w:rsidRPr="00DC2AB0" w:rsidRDefault="00A2008A" w:rsidP="00A45FD9">
            <w:pPr>
              <w:pStyle w:val="ListParagraph"/>
              <w:numPr>
                <w:ilvl w:val="0"/>
                <w:numId w:val="9"/>
              </w:numPr>
              <w:jc w:val="both"/>
              <w:rPr>
                <w:rFonts w:ascii="Times New Roman" w:hAnsi="Times New Roman" w:cs="Times New Roman"/>
                <w:b/>
                <w:bCs/>
                <w:sz w:val="24"/>
                <w:szCs w:val="24"/>
              </w:rPr>
            </w:pPr>
          </w:p>
        </w:tc>
        <w:tc>
          <w:tcPr>
            <w:tcW w:w="3600" w:type="dxa"/>
            <w:vAlign w:val="center"/>
          </w:tcPr>
          <w:p w14:paraId="3B67C66D" w14:textId="77777777" w:rsidR="00A2008A" w:rsidRPr="00DC2AB0" w:rsidRDefault="00A2008A" w:rsidP="00A45FD9">
            <w:pPr>
              <w:contextualSpacing/>
              <w:jc w:val="both"/>
              <w:rPr>
                <w:rFonts w:ascii="Times New Roman" w:hAnsi="Times New Roman" w:cs="Times New Roman"/>
                <w:bCs/>
                <w:sz w:val="24"/>
                <w:szCs w:val="24"/>
              </w:rPr>
            </w:pPr>
            <w:r w:rsidRPr="00DC2AB0">
              <w:rPr>
                <w:rFonts w:ascii="Times New Roman" w:hAnsi="Times New Roman" w:cs="Times New Roman"/>
                <w:bCs/>
                <w:sz w:val="24"/>
                <w:szCs w:val="24"/>
              </w:rPr>
              <w:t>Award Range</w:t>
            </w:r>
          </w:p>
        </w:tc>
        <w:tc>
          <w:tcPr>
            <w:tcW w:w="5528" w:type="dxa"/>
          </w:tcPr>
          <w:p w14:paraId="1734114D" w14:textId="1E002A57" w:rsidR="00A2008A" w:rsidRPr="00DC2AB0" w:rsidRDefault="00AC654C" w:rsidP="00A45FD9">
            <w:pPr>
              <w:contextualSpacing/>
              <w:jc w:val="both"/>
              <w:rPr>
                <w:rFonts w:ascii="Times New Roman" w:hAnsi="Times New Roman" w:cs="Times New Roman"/>
                <w:bCs/>
                <w:i/>
                <w:sz w:val="24"/>
                <w:szCs w:val="24"/>
              </w:rPr>
            </w:pPr>
            <w:r>
              <w:rPr>
                <w:rFonts w:ascii="Times New Roman" w:hAnsi="Times New Roman" w:cs="Times New Roman"/>
                <w:bCs/>
                <w:i/>
                <w:sz w:val="24"/>
                <w:szCs w:val="24"/>
              </w:rPr>
              <w:t>$25,000 - $50,000</w:t>
            </w:r>
          </w:p>
        </w:tc>
      </w:tr>
      <w:tr w:rsidR="00DC2AB0" w:rsidRPr="00DC2AB0" w14:paraId="3FA31EED" w14:textId="77777777" w:rsidTr="00E4190F">
        <w:tc>
          <w:tcPr>
            <w:tcW w:w="445" w:type="dxa"/>
            <w:shd w:val="clear" w:color="auto" w:fill="D9D9D9" w:themeFill="background1" w:themeFillShade="D9"/>
            <w:vAlign w:val="center"/>
          </w:tcPr>
          <w:p w14:paraId="657C5786" w14:textId="77777777" w:rsidR="00A2008A" w:rsidRPr="00DC2AB0" w:rsidRDefault="00A2008A" w:rsidP="00A45FD9">
            <w:pPr>
              <w:pStyle w:val="ListParagraph"/>
              <w:numPr>
                <w:ilvl w:val="0"/>
                <w:numId w:val="9"/>
              </w:numPr>
              <w:jc w:val="both"/>
              <w:rPr>
                <w:rFonts w:ascii="Times New Roman" w:hAnsi="Times New Roman" w:cs="Times New Roman"/>
                <w:b/>
                <w:bCs/>
                <w:sz w:val="24"/>
                <w:szCs w:val="24"/>
              </w:rPr>
            </w:pPr>
          </w:p>
        </w:tc>
        <w:tc>
          <w:tcPr>
            <w:tcW w:w="3600" w:type="dxa"/>
            <w:vAlign w:val="center"/>
          </w:tcPr>
          <w:p w14:paraId="6E368DF0" w14:textId="77777777" w:rsidR="00A2008A" w:rsidRPr="00DC2AB0" w:rsidRDefault="00A2008A" w:rsidP="00A45FD9">
            <w:pPr>
              <w:contextualSpacing/>
              <w:jc w:val="both"/>
              <w:rPr>
                <w:rFonts w:ascii="Times New Roman" w:hAnsi="Times New Roman" w:cs="Times New Roman"/>
                <w:bCs/>
                <w:sz w:val="24"/>
                <w:szCs w:val="24"/>
              </w:rPr>
            </w:pPr>
            <w:r w:rsidRPr="00DC2AB0">
              <w:rPr>
                <w:rFonts w:ascii="Times New Roman" w:hAnsi="Times New Roman" w:cs="Times New Roman"/>
                <w:bCs/>
                <w:sz w:val="24"/>
                <w:szCs w:val="24"/>
              </w:rPr>
              <w:t>Source of Funding:</w:t>
            </w:r>
          </w:p>
        </w:tc>
        <w:tc>
          <w:tcPr>
            <w:tcW w:w="5528" w:type="dxa"/>
          </w:tcPr>
          <w:p w14:paraId="3DF01D5C" w14:textId="77777777" w:rsidR="00A2008A" w:rsidRPr="00DC2AB0" w:rsidRDefault="00A2008A" w:rsidP="00A45FD9">
            <w:pPr>
              <w:autoSpaceDE w:val="0"/>
              <w:autoSpaceDN w:val="0"/>
              <w:adjustRightInd w:val="0"/>
              <w:ind w:hanging="18"/>
              <w:jc w:val="both"/>
              <w:rPr>
                <w:rFonts w:ascii="Times New Roman" w:hAnsi="Times New Roman" w:cs="Times New Roman"/>
                <w:bCs/>
                <w:i/>
                <w:sz w:val="24"/>
                <w:szCs w:val="24"/>
              </w:rPr>
            </w:pPr>
            <w:r w:rsidRPr="00DC2AB0">
              <w:rPr>
                <w:rFonts w:ascii="Times New Roman" w:hAnsi="Times New Roman" w:cs="Times New Roman"/>
                <w:bCs/>
                <w:i/>
                <w:sz w:val="24"/>
                <w:szCs w:val="24"/>
              </w:rPr>
              <w:t>Federal pass-through</w:t>
            </w:r>
          </w:p>
        </w:tc>
      </w:tr>
      <w:tr w:rsidR="00DC2AB0" w:rsidRPr="00DC2AB0" w14:paraId="116786AA" w14:textId="77777777" w:rsidTr="00D2113D">
        <w:tc>
          <w:tcPr>
            <w:tcW w:w="445" w:type="dxa"/>
            <w:shd w:val="clear" w:color="auto" w:fill="D9D9D9" w:themeFill="background1" w:themeFillShade="D9"/>
            <w:vAlign w:val="center"/>
          </w:tcPr>
          <w:p w14:paraId="6FE62F07" w14:textId="77777777" w:rsidR="00A2008A" w:rsidRPr="00DC2AB0" w:rsidRDefault="00A2008A" w:rsidP="00A45FD9">
            <w:pPr>
              <w:pStyle w:val="ListParagraph"/>
              <w:numPr>
                <w:ilvl w:val="0"/>
                <w:numId w:val="9"/>
              </w:numPr>
              <w:jc w:val="both"/>
              <w:rPr>
                <w:rFonts w:ascii="Times New Roman" w:hAnsi="Times New Roman" w:cs="Times New Roman"/>
                <w:b/>
                <w:bCs/>
                <w:sz w:val="24"/>
                <w:szCs w:val="24"/>
              </w:rPr>
            </w:pPr>
          </w:p>
        </w:tc>
        <w:tc>
          <w:tcPr>
            <w:tcW w:w="3600" w:type="dxa"/>
            <w:vAlign w:val="center"/>
          </w:tcPr>
          <w:p w14:paraId="6CA723F0" w14:textId="58B47EA5" w:rsidR="00A2008A" w:rsidRPr="00DC2AB0" w:rsidRDefault="00D2113D" w:rsidP="00D2113D">
            <w:pPr>
              <w:contextualSpacing/>
              <w:rPr>
                <w:rFonts w:ascii="Times New Roman" w:hAnsi="Times New Roman" w:cs="Times New Roman"/>
                <w:bCs/>
                <w:sz w:val="24"/>
                <w:szCs w:val="24"/>
              </w:rPr>
            </w:pPr>
            <w:r>
              <w:rPr>
                <w:rFonts w:ascii="Times New Roman" w:hAnsi="Times New Roman" w:cs="Times New Roman"/>
                <w:bCs/>
                <w:sz w:val="24"/>
                <w:szCs w:val="24"/>
              </w:rPr>
              <w:t xml:space="preserve">Cost </w:t>
            </w:r>
            <w:r w:rsidR="00A2008A" w:rsidRPr="00DC2AB0">
              <w:rPr>
                <w:rFonts w:ascii="Times New Roman" w:hAnsi="Times New Roman" w:cs="Times New Roman"/>
                <w:bCs/>
                <w:sz w:val="24"/>
                <w:szCs w:val="24"/>
              </w:rPr>
              <w:t>Sharing</w:t>
            </w:r>
            <w:r w:rsidR="005F226B" w:rsidRPr="00DC2AB0">
              <w:rPr>
                <w:rFonts w:ascii="Times New Roman" w:hAnsi="Times New Roman" w:cs="Times New Roman"/>
                <w:bCs/>
                <w:sz w:val="24"/>
                <w:szCs w:val="24"/>
              </w:rPr>
              <w:t>/</w:t>
            </w:r>
            <w:r w:rsidR="00A2008A" w:rsidRPr="00DC2AB0">
              <w:rPr>
                <w:rFonts w:ascii="Times New Roman" w:hAnsi="Times New Roman" w:cs="Times New Roman"/>
                <w:bCs/>
                <w:sz w:val="24"/>
                <w:szCs w:val="24"/>
              </w:rPr>
              <w:t>Matching Requirement:</w:t>
            </w:r>
          </w:p>
        </w:tc>
        <w:tc>
          <w:tcPr>
            <w:tcW w:w="5528" w:type="dxa"/>
            <w:vAlign w:val="center"/>
          </w:tcPr>
          <w:p w14:paraId="631AACE4" w14:textId="77777777" w:rsidR="00A2008A" w:rsidRPr="00DC2AB0" w:rsidRDefault="00A2008A" w:rsidP="00A45FD9">
            <w:pPr>
              <w:contextualSpacing/>
              <w:jc w:val="both"/>
              <w:rPr>
                <w:rFonts w:ascii="Times New Roman" w:hAnsi="Times New Roman" w:cs="Times New Roman"/>
                <w:b/>
                <w:bCs/>
                <w:i/>
                <w:sz w:val="24"/>
                <w:szCs w:val="24"/>
              </w:rPr>
            </w:pPr>
            <w:r w:rsidRPr="00DC2AB0">
              <w:rPr>
                <w:rFonts w:ascii="Times New Roman" w:hAnsi="Times New Roman" w:cs="Times New Roman"/>
                <w:i/>
                <w:sz w:val="24"/>
                <w:szCs w:val="24"/>
              </w:rPr>
              <w:t xml:space="preserve">No   </w:t>
            </w:r>
          </w:p>
        </w:tc>
      </w:tr>
      <w:tr w:rsidR="00DC2AB0" w:rsidRPr="00DC2AB0" w14:paraId="325B3168" w14:textId="77777777" w:rsidTr="00E4190F">
        <w:tc>
          <w:tcPr>
            <w:tcW w:w="445" w:type="dxa"/>
            <w:shd w:val="clear" w:color="auto" w:fill="D9D9D9" w:themeFill="background1" w:themeFillShade="D9"/>
            <w:vAlign w:val="center"/>
          </w:tcPr>
          <w:p w14:paraId="4BA5E772" w14:textId="77777777" w:rsidR="00A2008A" w:rsidRPr="00DC2AB0" w:rsidRDefault="00A2008A" w:rsidP="00A45FD9">
            <w:pPr>
              <w:pStyle w:val="ListParagraph"/>
              <w:numPr>
                <w:ilvl w:val="0"/>
                <w:numId w:val="9"/>
              </w:numPr>
              <w:jc w:val="both"/>
              <w:rPr>
                <w:rFonts w:ascii="Times New Roman" w:hAnsi="Times New Roman" w:cs="Times New Roman"/>
                <w:b/>
                <w:bCs/>
                <w:sz w:val="24"/>
                <w:szCs w:val="24"/>
              </w:rPr>
            </w:pPr>
          </w:p>
        </w:tc>
        <w:tc>
          <w:tcPr>
            <w:tcW w:w="3600" w:type="dxa"/>
          </w:tcPr>
          <w:p w14:paraId="36ACE964" w14:textId="77777777" w:rsidR="00A2008A" w:rsidRPr="00DC2AB0" w:rsidRDefault="00A2008A" w:rsidP="00A45FD9">
            <w:pPr>
              <w:contextualSpacing/>
              <w:jc w:val="both"/>
              <w:rPr>
                <w:rFonts w:ascii="Times New Roman" w:hAnsi="Times New Roman" w:cs="Times New Roman"/>
                <w:bCs/>
                <w:sz w:val="24"/>
                <w:szCs w:val="24"/>
              </w:rPr>
            </w:pPr>
            <w:r w:rsidRPr="00DC2AB0">
              <w:rPr>
                <w:rFonts w:ascii="Times New Roman" w:hAnsi="Times New Roman" w:cs="Times New Roman"/>
                <w:bCs/>
                <w:sz w:val="24"/>
                <w:szCs w:val="24"/>
              </w:rPr>
              <w:t>Indirect Costs Allowed</w:t>
            </w:r>
          </w:p>
          <w:p w14:paraId="2282672A" w14:textId="77777777" w:rsidR="00A2008A" w:rsidRPr="00DC2AB0" w:rsidRDefault="00A2008A" w:rsidP="00A45FD9">
            <w:pPr>
              <w:contextualSpacing/>
              <w:jc w:val="both"/>
              <w:rPr>
                <w:rFonts w:ascii="Times New Roman" w:hAnsi="Times New Roman" w:cs="Times New Roman"/>
                <w:bCs/>
                <w:sz w:val="24"/>
                <w:szCs w:val="24"/>
              </w:rPr>
            </w:pPr>
          </w:p>
          <w:p w14:paraId="7FBC74D2" w14:textId="77777777" w:rsidR="00A2008A" w:rsidRPr="00DC2AB0" w:rsidRDefault="00A2008A" w:rsidP="00A45FD9">
            <w:pPr>
              <w:contextualSpacing/>
              <w:jc w:val="both"/>
              <w:rPr>
                <w:rFonts w:ascii="Times New Roman" w:hAnsi="Times New Roman" w:cs="Times New Roman"/>
                <w:bCs/>
                <w:sz w:val="24"/>
                <w:szCs w:val="24"/>
              </w:rPr>
            </w:pPr>
            <w:r w:rsidRPr="00DC2AB0">
              <w:rPr>
                <w:rFonts w:ascii="Times New Roman" w:hAnsi="Times New Roman" w:cs="Times New Roman"/>
                <w:bCs/>
                <w:sz w:val="24"/>
                <w:szCs w:val="24"/>
              </w:rPr>
              <w:t>Restrictions on Indirect Costs</w:t>
            </w:r>
          </w:p>
          <w:p w14:paraId="7BDA8FD3" w14:textId="77777777" w:rsidR="00A2008A" w:rsidRPr="00DC2AB0" w:rsidRDefault="00A2008A" w:rsidP="00A45FD9">
            <w:pPr>
              <w:contextualSpacing/>
              <w:jc w:val="both"/>
              <w:rPr>
                <w:rFonts w:ascii="Times New Roman" w:hAnsi="Times New Roman" w:cs="Times New Roman"/>
                <w:bCs/>
                <w:sz w:val="24"/>
                <w:szCs w:val="24"/>
              </w:rPr>
            </w:pPr>
          </w:p>
        </w:tc>
        <w:tc>
          <w:tcPr>
            <w:tcW w:w="5528" w:type="dxa"/>
          </w:tcPr>
          <w:p w14:paraId="0ACC9574" w14:textId="77777777" w:rsidR="00A2008A" w:rsidRPr="00DC2AB0" w:rsidRDefault="005F226B" w:rsidP="00A45FD9">
            <w:pPr>
              <w:contextualSpacing/>
              <w:jc w:val="both"/>
              <w:rPr>
                <w:rFonts w:ascii="Times New Roman" w:hAnsi="Times New Roman" w:cs="Times New Roman"/>
                <w:i/>
                <w:sz w:val="24"/>
                <w:szCs w:val="24"/>
              </w:rPr>
            </w:pPr>
            <w:r w:rsidRPr="00DC2AB0">
              <w:rPr>
                <w:rFonts w:ascii="Times New Roman" w:hAnsi="Times New Roman" w:cs="Times New Roman"/>
                <w:i/>
                <w:sz w:val="24"/>
                <w:szCs w:val="24"/>
              </w:rPr>
              <w:t>Yes</w:t>
            </w:r>
          </w:p>
          <w:p w14:paraId="658E4A19" w14:textId="77777777" w:rsidR="005F226B" w:rsidRPr="00DC2AB0" w:rsidRDefault="005F226B" w:rsidP="00A45FD9">
            <w:pPr>
              <w:contextualSpacing/>
              <w:jc w:val="both"/>
              <w:rPr>
                <w:rFonts w:ascii="Times New Roman" w:hAnsi="Times New Roman" w:cs="Times New Roman"/>
                <w:i/>
                <w:sz w:val="24"/>
                <w:szCs w:val="24"/>
              </w:rPr>
            </w:pPr>
          </w:p>
          <w:p w14:paraId="1EBD7B73" w14:textId="77777777" w:rsidR="00A2008A" w:rsidRPr="00DC2AB0" w:rsidRDefault="005F226B" w:rsidP="00A45FD9">
            <w:pPr>
              <w:contextualSpacing/>
              <w:jc w:val="both"/>
              <w:rPr>
                <w:rFonts w:ascii="Times New Roman" w:hAnsi="Times New Roman" w:cs="Times New Roman"/>
                <w:i/>
                <w:sz w:val="24"/>
                <w:szCs w:val="24"/>
              </w:rPr>
            </w:pPr>
            <w:r w:rsidRPr="00DC2AB0">
              <w:rPr>
                <w:rFonts w:ascii="Times New Roman" w:hAnsi="Times New Roman" w:cs="Times New Roman"/>
                <w:i/>
                <w:sz w:val="24"/>
                <w:szCs w:val="24"/>
              </w:rPr>
              <w:t>Yes</w:t>
            </w:r>
            <w:r w:rsidR="00AD2A2D" w:rsidRPr="00DC2AB0">
              <w:rPr>
                <w:rFonts w:ascii="Times New Roman" w:hAnsi="Times New Roman" w:cs="Times New Roman"/>
                <w:i/>
                <w:sz w:val="24"/>
                <w:szCs w:val="24"/>
              </w:rPr>
              <w:t>, up to 5% of the total grant award</w:t>
            </w:r>
          </w:p>
          <w:p w14:paraId="6635A080" w14:textId="77777777" w:rsidR="00A2008A" w:rsidRPr="00DC2AB0" w:rsidRDefault="005F226B" w:rsidP="00A45FD9">
            <w:pPr>
              <w:contextualSpacing/>
              <w:jc w:val="both"/>
              <w:rPr>
                <w:rFonts w:ascii="Times New Roman" w:hAnsi="Times New Roman" w:cs="Times New Roman"/>
                <w:i/>
                <w:sz w:val="24"/>
                <w:szCs w:val="24"/>
              </w:rPr>
            </w:pPr>
            <w:r w:rsidRPr="00DC2AB0">
              <w:rPr>
                <w:rFonts w:ascii="Times New Roman" w:hAnsi="Times New Roman" w:cs="Times New Roman"/>
                <w:i/>
                <w:sz w:val="24"/>
                <w:szCs w:val="24"/>
              </w:rPr>
              <w:t>Adherence to EDGAR 2CFR200; Section 135c of Carl D. Perkins Act</w:t>
            </w:r>
            <w:r w:rsidR="00A2008A" w:rsidRPr="00DC2AB0">
              <w:rPr>
                <w:rFonts w:ascii="Times New Roman" w:hAnsi="Times New Roman" w:cs="Times New Roman"/>
                <w:i/>
                <w:sz w:val="24"/>
                <w:szCs w:val="24"/>
              </w:rPr>
              <w:t xml:space="preserve">  </w:t>
            </w:r>
          </w:p>
        </w:tc>
      </w:tr>
      <w:tr w:rsidR="00DC2AB0" w:rsidRPr="00DC2AB0" w14:paraId="6A66CA1D" w14:textId="77777777" w:rsidTr="00E4190F">
        <w:tc>
          <w:tcPr>
            <w:tcW w:w="445" w:type="dxa"/>
            <w:shd w:val="clear" w:color="auto" w:fill="D9D9D9" w:themeFill="background1" w:themeFillShade="D9"/>
            <w:vAlign w:val="center"/>
          </w:tcPr>
          <w:p w14:paraId="6F8333A0" w14:textId="77777777" w:rsidR="00A2008A" w:rsidRPr="00DC2AB0" w:rsidRDefault="00A2008A" w:rsidP="00A45FD9">
            <w:pPr>
              <w:pStyle w:val="ListParagraph"/>
              <w:numPr>
                <w:ilvl w:val="0"/>
                <w:numId w:val="9"/>
              </w:numPr>
              <w:jc w:val="both"/>
              <w:rPr>
                <w:rFonts w:ascii="Times New Roman" w:hAnsi="Times New Roman" w:cs="Times New Roman"/>
                <w:b/>
                <w:bCs/>
                <w:sz w:val="24"/>
                <w:szCs w:val="24"/>
              </w:rPr>
            </w:pPr>
          </w:p>
        </w:tc>
        <w:tc>
          <w:tcPr>
            <w:tcW w:w="3600" w:type="dxa"/>
            <w:vAlign w:val="center"/>
          </w:tcPr>
          <w:p w14:paraId="176080F5" w14:textId="77777777" w:rsidR="00A2008A" w:rsidRPr="00DC2AB0" w:rsidRDefault="00A2008A" w:rsidP="00A45FD9">
            <w:pPr>
              <w:contextualSpacing/>
              <w:jc w:val="both"/>
              <w:rPr>
                <w:rFonts w:ascii="Times New Roman" w:hAnsi="Times New Roman" w:cs="Times New Roman"/>
                <w:bCs/>
                <w:sz w:val="24"/>
                <w:szCs w:val="24"/>
              </w:rPr>
            </w:pPr>
            <w:r w:rsidRPr="00DC2AB0">
              <w:rPr>
                <w:rFonts w:ascii="Times New Roman" w:hAnsi="Times New Roman" w:cs="Times New Roman"/>
                <w:bCs/>
                <w:sz w:val="24"/>
                <w:szCs w:val="24"/>
              </w:rPr>
              <w:t xml:space="preserve">Posted Date: </w:t>
            </w:r>
            <w:r w:rsidRPr="00DC2AB0">
              <w:rPr>
                <w:rFonts w:ascii="Times New Roman" w:hAnsi="Times New Roman" w:cs="Times New Roman"/>
                <w:bCs/>
                <w:sz w:val="24"/>
                <w:szCs w:val="24"/>
              </w:rPr>
              <w:tab/>
            </w:r>
          </w:p>
        </w:tc>
        <w:tc>
          <w:tcPr>
            <w:tcW w:w="5528" w:type="dxa"/>
          </w:tcPr>
          <w:p w14:paraId="6C3FE5FB" w14:textId="7FDF3ADC" w:rsidR="00A2008A" w:rsidRPr="00D2113D" w:rsidRDefault="00B85E27" w:rsidP="00A45FD9">
            <w:pPr>
              <w:contextualSpacing/>
              <w:jc w:val="both"/>
              <w:rPr>
                <w:rFonts w:ascii="Times New Roman" w:hAnsi="Times New Roman" w:cs="Times New Roman"/>
                <w:bCs/>
                <w:i/>
                <w:sz w:val="24"/>
                <w:szCs w:val="24"/>
                <w:highlight w:val="yellow"/>
              </w:rPr>
            </w:pPr>
            <w:r w:rsidRPr="00B85E27">
              <w:rPr>
                <w:rFonts w:ascii="Times New Roman" w:hAnsi="Times New Roman" w:cs="Times New Roman"/>
                <w:bCs/>
                <w:i/>
                <w:sz w:val="24"/>
                <w:szCs w:val="24"/>
              </w:rPr>
              <w:t>August, 27, 2018</w:t>
            </w:r>
          </w:p>
        </w:tc>
      </w:tr>
      <w:tr w:rsidR="00DC2AB0" w:rsidRPr="00DC2AB0" w14:paraId="2DF54EE5" w14:textId="77777777" w:rsidTr="00E4190F">
        <w:tc>
          <w:tcPr>
            <w:tcW w:w="445" w:type="dxa"/>
            <w:shd w:val="clear" w:color="auto" w:fill="D9D9D9" w:themeFill="background1" w:themeFillShade="D9"/>
            <w:vAlign w:val="center"/>
          </w:tcPr>
          <w:p w14:paraId="0464A529" w14:textId="77777777" w:rsidR="00A2008A" w:rsidRPr="00DC2AB0" w:rsidRDefault="00A2008A" w:rsidP="00A45FD9">
            <w:pPr>
              <w:pStyle w:val="ListParagraph"/>
              <w:numPr>
                <w:ilvl w:val="0"/>
                <w:numId w:val="9"/>
              </w:numPr>
              <w:jc w:val="both"/>
              <w:rPr>
                <w:rFonts w:ascii="Times New Roman" w:hAnsi="Times New Roman" w:cs="Times New Roman"/>
                <w:b/>
                <w:bCs/>
                <w:sz w:val="24"/>
                <w:szCs w:val="24"/>
              </w:rPr>
            </w:pPr>
          </w:p>
        </w:tc>
        <w:tc>
          <w:tcPr>
            <w:tcW w:w="3600" w:type="dxa"/>
            <w:vAlign w:val="center"/>
          </w:tcPr>
          <w:p w14:paraId="2420DB94" w14:textId="77777777" w:rsidR="00A2008A" w:rsidRPr="00DC2AB0" w:rsidRDefault="00A2008A" w:rsidP="00A45FD9">
            <w:pPr>
              <w:contextualSpacing/>
              <w:jc w:val="both"/>
              <w:rPr>
                <w:rFonts w:ascii="Times New Roman" w:hAnsi="Times New Roman" w:cs="Times New Roman"/>
                <w:bCs/>
                <w:sz w:val="24"/>
                <w:szCs w:val="24"/>
              </w:rPr>
            </w:pPr>
            <w:r w:rsidRPr="00DC2AB0">
              <w:rPr>
                <w:rFonts w:ascii="Times New Roman" w:hAnsi="Times New Roman" w:cs="Times New Roman"/>
                <w:bCs/>
                <w:sz w:val="24"/>
                <w:szCs w:val="24"/>
              </w:rPr>
              <w:t>Closing Date for Applications:</w:t>
            </w:r>
          </w:p>
        </w:tc>
        <w:tc>
          <w:tcPr>
            <w:tcW w:w="5528" w:type="dxa"/>
          </w:tcPr>
          <w:p w14:paraId="1B9493C3" w14:textId="62536143" w:rsidR="00A2008A" w:rsidRPr="00D2113D" w:rsidRDefault="00B85E27" w:rsidP="00A45FD9">
            <w:pPr>
              <w:autoSpaceDE w:val="0"/>
              <w:autoSpaceDN w:val="0"/>
              <w:adjustRightInd w:val="0"/>
              <w:jc w:val="both"/>
              <w:rPr>
                <w:rFonts w:ascii="Times New Roman" w:hAnsi="Times New Roman" w:cs="Times New Roman"/>
                <w:bCs/>
                <w:i/>
                <w:sz w:val="24"/>
                <w:szCs w:val="24"/>
                <w:highlight w:val="yellow"/>
              </w:rPr>
            </w:pPr>
            <w:r w:rsidRPr="00B85E27">
              <w:rPr>
                <w:rFonts w:ascii="Times New Roman" w:hAnsi="Times New Roman" w:cs="Times New Roman"/>
                <w:bCs/>
                <w:i/>
                <w:sz w:val="24"/>
                <w:szCs w:val="24"/>
              </w:rPr>
              <w:t>November 2, 2018</w:t>
            </w:r>
            <w:r w:rsidR="00A2008A" w:rsidRPr="00B85E27">
              <w:rPr>
                <w:rFonts w:ascii="Times New Roman" w:hAnsi="Times New Roman" w:cs="Times New Roman"/>
                <w:bCs/>
                <w:i/>
                <w:sz w:val="24"/>
                <w:szCs w:val="24"/>
              </w:rPr>
              <w:t xml:space="preserve">   </w:t>
            </w:r>
          </w:p>
        </w:tc>
      </w:tr>
      <w:tr w:rsidR="00DC2AB0" w:rsidRPr="00DC2AB0" w14:paraId="7DB1480D" w14:textId="77777777" w:rsidTr="00E4190F">
        <w:tc>
          <w:tcPr>
            <w:tcW w:w="445" w:type="dxa"/>
            <w:shd w:val="clear" w:color="auto" w:fill="D9D9D9" w:themeFill="background1" w:themeFillShade="D9"/>
            <w:vAlign w:val="center"/>
          </w:tcPr>
          <w:p w14:paraId="36E083BB" w14:textId="77777777" w:rsidR="00A2008A" w:rsidRPr="00DC2AB0" w:rsidRDefault="00A2008A" w:rsidP="00A45FD9">
            <w:pPr>
              <w:pStyle w:val="ListParagraph"/>
              <w:numPr>
                <w:ilvl w:val="0"/>
                <w:numId w:val="9"/>
              </w:numPr>
              <w:jc w:val="both"/>
              <w:rPr>
                <w:rFonts w:ascii="Times New Roman" w:hAnsi="Times New Roman" w:cs="Times New Roman"/>
                <w:b/>
                <w:bCs/>
                <w:sz w:val="24"/>
                <w:szCs w:val="24"/>
              </w:rPr>
            </w:pPr>
          </w:p>
        </w:tc>
        <w:tc>
          <w:tcPr>
            <w:tcW w:w="3600" w:type="dxa"/>
            <w:vAlign w:val="center"/>
          </w:tcPr>
          <w:p w14:paraId="5E2A5CEC" w14:textId="77777777" w:rsidR="00A2008A" w:rsidRPr="00DC2AB0" w:rsidRDefault="00BD659A" w:rsidP="00A45FD9">
            <w:pPr>
              <w:contextualSpacing/>
              <w:jc w:val="both"/>
              <w:rPr>
                <w:rFonts w:ascii="Times New Roman" w:hAnsi="Times New Roman" w:cs="Times New Roman"/>
                <w:bCs/>
                <w:sz w:val="24"/>
                <w:szCs w:val="24"/>
              </w:rPr>
            </w:pPr>
            <w:r w:rsidRPr="00DC2AB0">
              <w:rPr>
                <w:rFonts w:ascii="Times New Roman" w:hAnsi="Times New Roman" w:cs="Times New Roman"/>
                <w:bCs/>
                <w:sz w:val="24"/>
                <w:szCs w:val="24"/>
              </w:rPr>
              <w:t>Technical Assistance</w:t>
            </w:r>
            <w:r w:rsidR="00A2008A" w:rsidRPr="00DC2AB0">
              <w:rPr>
                <w:rFonts w:ascii="Times New Roman" w:hAnsi="Times New Roman" w:cs="Times New Roman"/>
                <w:bCs/>
                <w:sz w:val="24"/>
                <w:szCs w:val="24"/>
              </w:rPr>
              <w:t>:</w:t>
            </w:r>
          </w:p>
        </w:tc>
        <w:tc>
          <w:tcPr>
            <w:tcW w:w="5528" w:type="dxa"/>
          </w:tcPr>
          <w:p w14:paraId="1A3BA839" w14:textId="77777777" w:rsidR="00A2008A" w:rsidRPr="00DC2AB0" w:rsidRDefault="00BD659A" w:rsidP="00A45FD9">
            <w:pPr>
              <w:contextualSpacing/>
              <w:jc w:val="both"/>
              <w:rPr>
                <w:rFonts w:ascii="Times New Roman" w:hAnsi="Times New Roman" w:cs="Times New Roman"/>
                <w:b/>
                <w:bCs/>
                <w:i/>
                <w:sz w:val="24"/>
                <w:szCs w:val="24"/>
              </w:rPr>
            </w:pPr>
            <w:r w:rsidRPr="00DC2AB0">
              <w:rPr>
                <w:rFonts w:ascii="Times New Roman" w:hAnsi="Times New Roman" w:cs="Times New Roman"/>
                <w:i/>
                <w:sz w:val="24"/>
                <w:szCs w:val="24"/>
              </w:rPr>
              <w:t>Technical assistance will be provided throughout the grant period to grant recipients.</w:t>
            </w:r>
          </w:p>
        </w:tc>
      </w:tr>
    </w:tbl>
    <w:p w14:paraId="15262784" w14:textId="77777777" w:rsidR="00E4190F" w:rsidRDefault="00E4190F" w:rsidP="00A45FD9">
      <w:pPr>
        <w:contextualSpacing/>
        <w:jc w:val="both"/>
        <w:rPr>
          <w:b/>
          <w:sz w:val="28"/>
          <w:szCs w:val="28"/>
        </w:rPr>
      </w:pPr>
    </w:p>
    <w:p w14:paraId="73C6B21D" w14:textId="77777777" w:rsidR="00E4190F" w:rsidRDefault="00E4190F" w:rsidP="00A45FD9">
      <w:pPr>
        <w:contextualSpacing/>
        <w:jc w:val="both"/>
        <w:rPr>
          <w:b/>
          <w:sz w:val="28"/>
          <w:szCs w:val="28"/>
        </w:rPr>
      </w:pPr>
    </w:p>
    <w:p w14:paraId="28AC0776" w14:textId="77777777" w:rsidR="00E4190F" w:rsidRDefault="00E4190F" w:rsidP="00A45FD9">
      <w:pPr>
        <w:contextualSpacing/>
        <w:jc w:val="both"/>
        <w:rPr>
          <w:b/>
          <w:sz w:val="28"/>
          <w:szCs w:val="28"/>
        </w:rPr>
      </w:pPr>
    </w:p>
    <w:p w14:paraId="6AA6F655" w14:textId="77777777" w:rsidR="00E4190F" w:rsidRDefault="00E4190F" w:rsidP="00A45FD9">
      <w:pPr>
        <w:contextualSpacing/>
        <w:jc w:val="both"/>
        <w:rPr>
          <w:b/>
          <w:sz w:val="28"/>
          <w:szCs w:val="28"/>
        </w:rPr>
      </w:pPr>
    </w:p>
    <w:p w14:paraId="22450B20" w14:textId="77777777" w:rsidR="00E4190F" w:rsidRDefault="00E4190F" w:rsidP="00A45FD9">
      <w:pPr>
        <w:contextualSpacing/>
        <w:jc w:val="both"/>
        <w:rPr>
          <w:b/>
          <w:sz w:val="28"/>
          <w:szCs w:val="28"/>
        </w:rPr>
      </w:pPr>
    </w:p>
    <w:p w14:paraId="4DC881D9" w14:textId="77777777" w:rsidR="00E4190F" w:rsidRDefault="00E4190F" w:rsidP="00A45FD9">
      <w:pPr>
        <w:contextualSpacing/>
        <w:jc w:val="both"/>
        <w:rPr>
          <w:b/>
          <w:sz w:val="28"/>
          <w:szCs w:val="28"/>
        </w:rPr>
      </w:pPr>
    </w:p>
    <w:p w14:paraId="202A36A7" w14:textId="77777777" w:rsidR="00E4190F" w:rsidRDefault="00E4190F" w:rsidP="00A45FD9">
      <w:pPr>
        <w:contextualSpacing/>
        <w:jc w:val="both"/>
        <w:rPr>
          <w:b/>
          <w:sz w:val="28"/>
          <w:szCs w:val="28"/>
        </w:rPr>
      </w:pPr>
    </w:p>
    <w:p w14:paraId="0E7F6FD3" w14:textId="77777777" w:rsidR="00E4190F" w:rsidRDefault="00E4190F" w:rsidP="00A45FD9">
      <w:pPr>
        <w:contextualSpacing/>
        <w:jc w:val="both"/>
        <w:rPr>
          <w:b/>
          <w:sz w:val="28"/>
          <w:szCs w:val="28"/>
        </w:rPr>
      </w:pPr>
    </w:p>
    <w:p w14:paraId="49F1AC3F" w14:textId="77777777" w:rsidR="00E4190F" w:rsidRDefault="00E4190F" w:rsidP="00A45FD9">
      <w:pPr>
        <w:contextualSpacing/>
        <w:jc w:val="both"/>
        <w:rPr>
          <w:b/>
          <w:sz w:val="28"/>
          <w:szCs w:val="28"/>
        </w:rPr>
      </w:pPr>
    </w:p>
    <w:p w14:paraId="5769C860" w14:textId="77777777" w:rsidR="00D13376" w:rsidRPr="00E4190F" w:rsidRDefault="00D13376" w:rsidP="00A45FD9">
      <w:pPr>
        <w:contextualSpacing/>
        <w:jc w:val="center"/>
        <w:rPr>
          <w:rFonts w:ascii="Times New Roman" w:hAnsi="Times New Roman" w:cs="Times New Roman"/>
          <w:b/>
          <w:bCs/>
          <w:sz w:val="28"/>
          <w:szCs w:val="28"/>
        </w:rPr>
      </w:pPr>
      <w:r w:rsidRPr="00E4190F">
        <w:rPr>
          <w:rFonts w:ascii="Times New Roman" w:hAnsi="Times New Roman" w:cs="Times New Roman"/>
          <w:b/>
          <w:sz w:val="28"/>
          <w:szCs w:val="28"/>
        </w:rPr>
        <w:lastRenderedPageBreak/>
        <w:t>Notice of Funding Opportunity</w:t>
      </w:r>
      <w:r w:rsidR="00DC2AB0">
        <w:rPr>
          <w:rFonts w:ascii="Times New Roman" w:hAnsi="Times New Roman" w:cs="Times New Roman"/>
          <w:b/>
          <w:sz w:val="28"/>
          <w:szCs w:val="28"/>
        </w:rPr>
        <w:t>: FY2019 CTE Leadership Grant Package</w:t>
      </w:r>
    </w:p>
    <w:p w14:paraId="1038DC66" w14:textId="77777777" w:rsidR="00D13376" w:rsidRPr="00B009FB" w:rsidRDefault="00D13376" w:rsidP="00A45FD9">
      <w:pPr>
        <w:spacing w:after="0" w:line="240" w:lineRule="auto"/>
        <w:jc w:val="both"/>
        <w:rPr>
          <w:rFonts w:ascii="Arial" w:eastAsia="Times New Roman" w:hAnsi="Arial" w:cs="Arial"/>
          <w:sz w:val="20"/>
          <w:szCs w:val="20"/>
        </w:rPr>
      </w:pPr>
    </w:p>
    <w:p w14:paraId="706C0081" w14:textId="77777777" w:rsidR="00D13376" w:rsidRPr="00D13376" w:rsidRDefault="00D13376" w:rsidP="00A45FD9">
      <w:pPr>
        <w:pStyle w:val="ListParagraph"/>
        <w:spacing w:after="0" w:line="240" w:lineRule="auto"/>
        <w:ind w:left="360"/>
        <w:jc w:val="both"/>
        <w:rPr>
          <w:rFonts w:ascii="Arial" w:eastAsia="Times New Roman" w:hAnsi="Arial" w:cs="Arial"/>
          <w:sz w:val="20"/>
          <w:szCs w:val="20"/>
        </w:rPr>
      </w:pPr>
    </w:p>
    <w:p w14:paraId="7A5C51B1" w14:textId="77777777" w:rsidR="004D42EC" w:rsidRPr="00DC2AB0" w:rsidRDefault="0080725C" w:rsidP="00A45FD9">
      <w:pPr>
        <w:pStyle w:val="ListParagraph"/>
        <w:numPr>
          <w:ilvl w:val="0"/>
          <w:numId w:val="4"/>
        </w:numPr>
        <w:spacing w:after="0" w:line="240" w:lineRule="auto"/>
        <w:jc w:val="both"/>
        <w:rPr>
          <w:rFonts w:ascii="Times New Roman" w:eastAsia="Times New Roman" w:hAnsi="Times New Roman" w:cs="Times New Roman"/>
          <w:sz w:val="24"/>
          <w:szCs w:val="24"/>
        </w:rPr>
      </w:pPr>
      <w:r w:rsidRPr="00DC2AB0">
        <w:rPr>
          <w:rFonts w:ascii="Times New Roman" w:eastAsia="Times New Roman" w:hAnsi="Times New Roman" w:cs="Times New Roman"/>
          <w:b/>
          <w:sz w:val="24"/>
          <w:szCs w:val="24"/>
        </w:rPr>
        <w:t xml:space="preserve">Program </w:t>
      </w:r>
      <w:r w:rsidR="00EE2BF5" w:rsidRPr="00DC2AB0">
        <w:rPr>
          <w:rFonts w:ascii="Times New Roman" w:eastAsia="Times New Roman" w:hAnsi="Times New Roman" w:cs="Times New Roman"/>
          <w:b/>
          <w:sz w:val="24"/>
          <w:szCs w:val="24"/>
        </w:rPr>
        <w:t>Scope</w:t>
      </w:r>
    </w:p>
    <w:p w14:paraId="42B6E4D1" w14:textId="77777777" w:rsidR="00A0489D" w:rsidRPr="00DC2AB0" w:rsidRDefault="00A0489D" w:rsidP="00A45FD9">
      <w:pPr>
        <w:pStyle w:val="ListParagraph"/>
        <w:spacing w:after="0" w:line="240" w:lineRule="auto"/>
        <w:ind w:left="360"/>
        <w:jc w:val="both"/>
        <w:rPr>
          <w:rFonts w:ascii="Times New Roman" w:eastAsia="Times New Roman" w:hAnsi="Times New Roman" w:cs="Times New Roman"/>
          <w:sz w:val="24"/>
          <w:szCs w:val="24"/>
        </w:rPr>
      </w:pPr>
    </w:p>
    <w:p w14:paraId="7D7506F4" w14:textId="0AB9AEC3" w:rsidR="00E4190F" w:rsidRPr="00DC2AB0" w:rsidRDefault="00E4190F" w:rsidP="00A45FD9">
      <w:pPr>
        <w:autoSpaceDE w:val="0"/>
        <w:autoSpaceDN w:val="0"/>
        <w:adjustRightInd w:val="0"/>
        <w:spacing w:after="0" w:line="240" w:lineRule="auto"/>
        <w:ind w:left="360"/>
        <w:jc w:val="both"/>
        <w:rPr>
          <w:rFonts w:ascii="Times New Roman" w:hAnsi="Times New Roman" w:cs="Times New Roman"/>
          <w:sz w:val="24"/>
          <w:szCs w:val="24"/>
        </w:rPr>
      </w:pPr>
      <w:r w:rsidRPr="00DC2AB0">
        <w:rPr>
          <w:rFonts w:ascii="Times New Roman" w:hAnsi="Times New Roman" w:cs="Times New Roman"/>
          <w:sz w:val="24"/>
          <w:szCs w:val="24"/>
        </w:rPr>
        <w:t xml:space="preserve">This grant package is designed to support the improvement and innovation </w:t>
      </w:r>
      <w:r w:rsidR="00AC654C" w:rsidRPr="00DC2AB0">
        <w:rPr>
          <w:rFonts w:ascii="Times New Roman" w:hAnsi="Times New Roman" w:cs="Times New Roman"/>
          <w:sz w:val="24"/>
          <w:szCs w:val="24"/>
        </w:rPr>
        <w:t xml:space="preserve">of career and technical education </w:t>
      </w:r>
      <w:r w:rsidRPr="00DC2AB0">
        <w:rPr>
          <w:rFonts w:ascii="Times New Roman" w:hAnsi="Times New Roman" w:cs="Times New Roman"/>
          <w:sz w:val="24"/>
          <w:szCs w:val="24"/>
        </w:rPr>
        <w:t>(CTE) programming throughout the Illinois community college system. The selected focus areas align with statewide need and national initiatives in CTE. Grant recipients will be able to choose from the three improvement project areas below. These project areas are general in nature to provide for local innovation and flexibility in implementation. Each objective adheres to Section 135 of the Carl D. Perkins Career and Technical Education Improvement Act of 2006.</w:t>
      </w:r>
    </w:p>
    <w:p w14:paraId="0D98C777" w14:textId="77777777" w:rsidR="00E4190F" w:rsidRPr="00DC2AB0" w:rsidRDefault="00E4190F" w:rsidP="00A45FD9">
      <w:pPr>
        <w:autoSpaceDE w:val="0"/>
        <w:autoSpaceDN w:val="0"/>
        <w:adjustRightInd w:val="0"/>
        <w:spacing w:after="0" w:line="240" w:lineRule="auto"/>
        <w:ind w:left="360"/>
        <w:jc w:val="both"/>
        <w:rPr>
          <w:rFonts w:ascii="Times New Roman" w:hAnsi="Times New Roman" w:cs="Times New Roman"/>
          <w:sz w:val="24"/>
          <w:szCs w:val="24"/>
        </w:rPr>
      </w:pPr>
    </w:p>
    <w:p w14:paraId="3928C76B" w14:textId="77777777" w:rsidR="00E4190F" w:rsidRPr="00DC2AB0" w:rsidRDefault="00E4190F" w:rsidP="00A45FD9">
      <w:pPr>
        <w:autoSpaceDE w:val="0"/>
        <w:autoSpaceDN w:val="0"/>
        <w:adjustRightInd w:val="0"/>
        <w:spacing w:after="0" w:line="240" w:lineRule="auto"/>
        <w:ind w:left="360"/>
        <w:jc w:val="both"/>
        <w:rPr>
          <w:rFonts w:ascii="Times New Roman" w:hAnsi="Times New Roman" w:cs="Times New Roman"/>
          <w:b/>
          <w:sz w:val="24"/>
          <w:szCs w:val="24"/>
        </w:rPr>
      </w:pPr>
      <w:r w:rsidRPr="00DC2AB0">
        <w:rPr>
          <w:rFonts w:ascii="Times New Roman" w:hAnsi="Times New Roman" w:cs="Times New Roman"/>
          <w:sz w:val="24"/>
          <w:szCs w:val="24"/>
          <w:u w:val="single"/>
        </w:rPr>
        <w:t>Grant Objectives</w:t>
      </w:r>
      <w:r w:rsidRPr="00DC2AB0">
        <w:rPr>
          <w:rFonts w:ascii="Times New Roman" w:hAnsi="Times New Roman" w:cs="Times New Roman"/>
          <w:sz w:val="24"/>
          <w:szCs w:val="24"/>
        </w:rPr>
        <w:t>:</w:t>
      </w:r>
      <w:r w:rsidR="00EE2BF5" w:rsidRPr="00DC2AB0">
        <w:rPr>
          <w:rFonts w:ascii="Times New Roman" w:hAnsi="Times New Roman" w:cs="Times New Roman"/>
          <w:sz w:val="24"/>
          <w:szCs w:val="24"/>
        </w:rPr>
        <w:t xml:space="preserve"> </w:t>
      </w:r>
    </w:p>
    <w:p w14:paraId="6C772DA2" w14:textId="77777777" w:rsidR="00E4190F" w:rsidRPr="00DC2AB0" w:rsidRDefault="00E4190F" w:rsidP="00A45FD9">
      <w:pPr>
        <w:pStyle w:val="ListParagraph"/>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rPr>
      </w:pPr>
      <w:r w:rsidRPr="00DC2AB0">
        <w:rPr>
          <w:rFonts w:ascii="Times New Roman" w:eastAsia="Times New Roman" w:hAnsi="Times New Roman" w:cs="Times New Roman"/>
          <w:i/>
          <w:sz w:val="24"/>
          <w:szCs w:val="24"/>
        </w:rPr>
        <w:t>Enhancing Student Transitions</w:t>
      </w:r>
      <w:r w:rsidRPr="00DC2AB0">
        <w:rPr>
          <w:rFonts w:ascii="Times New Roman" w:eastAsia="Times New Roman" w:hAnsi="Times New Roman" w:cs="Times New Roman"/>
          <w:sz w:val="24"/>
          <w:szCs w:val="24"/>
        </w:rPr>
        <w:t xml:space="preserve">: </w:t>
      </w:r>
      <w:r w:rsidR="0072248C" w:rsidRPr="00DC2AB0">
        <w:rPr>
          <w:rFonts w:ascii="Times New Roman" w:hAnsi="Times New Roman" w:cs="Times New Roman"/>
          <w:sz w:val="24"/>
          <w:szCs w:val="24"/>
        </w:rPr>
        <w:t>Colleges can choose to implement a curriculum development project in order to provide institutions with the opportunity to improve CTE programming by building, evaluating, and implementing CTE curriculum and improving student transitions to and through postsecondary education.</w:t>
      </w:r>
    </w:p>
    <w:p w14:paraId="331E90EB" w14:textId="77777777" w:rsidR="00E4190F" w:rsidRPr="00DC2AB0" w:rsidRDefault="00DC2AB0" w:rsidP="00A45FD9">
      <w:pPr>
        <w:pStyle w:val="ListParagraph"/>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Student Centered </w:t>
      </w:r>
      <w:r w:rsidR="00E4190F" w:rsidRPr="00DC2AB0">
        <w:rPr>
          <w:rFonts w:ascii="Times New Roman" w:eastAsia="Times New Roman" w:hAnsi="Times New Roman" w:cs="Times New Roman"/>
          <w:i/>
          <w:sz w:val="24"/>
          <w:szCs w:val="24"/>
        </w:rPr>
        <w:t>S</w:t>
      </w:r>
      <w:r>
        <w:rPr>
          <w:rFonts w:ascii="Times New Roman" w:eastAsia="Times New Roman" w:hAnsi="Times New Roman" w:cs="Times New Roman"/>
          <w:i/>
          <w:sz w:val="24"/>
          <w:szCs w:val="24"/>
        </w:rPr>
        <w:t>upport Services</w:t>
      </w:r>
      <w:r w:rsidR="00E4190F" w:rsidRPr="00DC2AB0">
        <w:rPr>
          <w:rFonts w:ascii="Times New Roman" w:eastAsia="Times New Roman" w:hAnsi="Times New Roman" w:cs="Times New Roman"/>
          <w:sz w:val="24"/>
          <w:szCs w:val="24"/>
        </w:rPr>
        <w:t xml:space="preserve">: Community colleges serve a diverse group of students with varying needs. Student support services and related projects can help assist </w:t>
      </w:r>
      <w:r>
        <w:rPr>
          <w:rFonts w:ascii="Times New Roman" w:eastAsia="Times New Roman" w:hAnsi="Times New Roman" w:cs="Times New Roman"/>
          <w:sz w:val="24"/>
          <w:szCs w:val="24"/>
        </w:rPr>
        <w:t xml:space="preserve">CTE </w:t>
      </w:r>
      <w:r w:rsidR="00E4190F" w:rsidRPr="00DC2AB0">
        <w:rPr>
          <w:rFonts w:ascii="Times New Roman" w:eastAsia="Times New Roman" w:hAnsi="Times New Roman" w:cs="Times New Roman"/>
          <w:sz w:val="24"/>
          <w:szCs w:val="24"/>
        </w:rPr>
        <w:t>students, particularly those with barriers to success, persist and complete their program of study.</w:t>
      </w:r>
    </w:p>
    <w:p w14:paraId="36AA64F5" w14:textId="088BC3B6" w:rsidR="00E4190F" w:rsidRDefault="00DC2AB0" w:rsidP="00A45FD9">
      <w:pPr>
        <w:pStyle w:val="ListParagraph"/>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Expanding </w:t>
      </w:r>
      <w:r w:rsidR="00E4190F" w:rsidRPr="00DC2AB0">
        <w:rPr>
          <w:rFonts w:ascii="Times New Roman" w:eastAsia="Times New Roman" w:hAnsi="Times New Roman" w:cs="Times New Roman"/>
          <w:i/>
          <w:sz w:val="24"/>
          <w:szCs w:val="24"/>
        </w:rPr>
        <w:t>Work-based Learning</w:t>
      </w:r>
      <w:r w:rsidR="00E4190F" w:rsidRPr="00DC2AB0">
        <w:rPr>
          <w:rFonts w:ascii="Times New Roman" w:eastAsia="Times New Roman" w:hAnsi="Times New Roman" w:cs="Times New Roman"/>
          <w:sz w:val="24"/>
          <w:szCs w:val="24"/>
        </w:rPr>
        <w:t xml:space="preserve">: Work-based learning provides CTE students </w:t>
      </w:r>
      <w:r w:rsidR="00B85E27">
        <w:rPr>
          <w:rFonts w:ascii="Times New Roman" w:eastAsia="Times New Roman" w:hAnsi="Times New Roman" w:cs="Times New Roman"/>
          <w:sz w:val="24"/>
          <w:szCs w:val="24"/>
        </w:rPr>
        <w:t xml:space="preserve">with </w:t>
      </w:r>
      <w:r w:rsidR="00E4190F" w:rsidRPr="00DC2AB0">
        <w:rPr>
          <w:rFonts w:ascii="Times New Roman" w:eastAsia="Times New Roman" w:hAnsi="Times New Roman" w:cs="Times New Roman"/>
          <w:sz w:val="24"/>
          <w:szCs w:val="24"/>
        </w:rPr>
        <w:t>the opportunity to learn technical, academic, and essential employability skills in a real work environment while also increasing credential attainment and workforce preparation. Colleges may</w:t>
      </w:r>
      <w:r w:rsidR="008229DC">
        <w:rPr>
          <w:rFonts w:ascii="Times New Roman" w:eastAsia="Times New Roman" w:hAnsi="Times New Roman" w:cs="Times New Roman"/>
          <w:sz w:val="24"/>
          <w:szCs w:val="24"/>
        </w:rPr>
        <w:t xml:space="preserve"> choose to</w:t>
      </w:r>
      <w:r w:rsidR="00E4190F" w:rsidRPr="00DC2AB0">
        <w:rPr>
          <w:rFonts w:ascii="Times New Roman" w:eastAsia="Times New Roman" w:hAnsi="Times New Roman" w:cs="Times New Roman"/>
          <w:sz w:val="24"/>
          <w:szCs w:val="24"/>
        </w:rPr>
        <w:t xml:space="preserve"> create partnerships, develop programs, and</w:t>
      </w:r>
      <w:r w:rsidR="008229DC">
        <w:rPr>
          <w:rFonts w:ascii="Times New Roman" w:eastAsia="Times New Roman" w:hAnsi="Times New Roman" w:cs="Times New Roman"/>
          <w:sz w:val="24"/>
          <w:szCs w:val="24"/>
        </w:rPr>
        <w:t>/or</w:t>
      </w:r>
      <w:r w:rsidR="00E4190F" w:rsidRPr="00DC2AB0">
        <w:rPr>
          <w:rFonts w:ascii="Times New Roman" w:eastAsia="Times New Roman" w:hAnsi="Times New Roman" w:cs="Times New Roman"/>
          <w:sz w:val="24"/>
          <w:szCs w:val="24"/>
        </w:rPr>
        <w:t xml:space="preserve"> increase opportunities for work-based learning</w:t>
      </w:r>
      <w:r w:rsidR="008229DC">
        <w:rPr>
          <w:rFonts w:ascii="Times New Roman" w:eastAsia="Times New Roman" w:hAnsi="Times New Roman" w:cs="Times New Roman"/>
          <w:sz w:val="24"/>
          <w:szCs w:val="24"/>
        </w:rPr>
        <w:t xml:space="preserve"> (ex. </w:t>
      </w:r>
      <w:r w:rsidR="00B85E27">
        <w:rPr>
          <w:rFonts w:ascii="Times New Roman" w:eastAsia="Times New Roman" w:hAnsi="Times New Roman" w:cs="Times New Roman"/>
          <w:sz w:val="24"/>
          <w:szCs w:val="24"/>
        </w:rPr>
        <w:t xml:space="preserve">pre-apprenticeship, </w:t>
      </w:r>
      <w:r w:rsidR="008229DC">
        <w:rPr>
          <w:rFonts w:ascii="Times New Roman" w:eastAsia="Times New Roman" w:hAnsi="Times New Roman" w:cs="Times New Roman"/>
          <w:sz w:val="24"/>
          <w:szCs w:val="24"/>
        </w:rPr>
        <w:t>apprenticeship, internship, job shadowing</w:t>
      </w:r>
      <w:r w:rsidR="00B85E27">
        <w:rPr>
          <w:rFonts w:ascii="Times New Roman" w:eastAsia="Times New Roman" w:hAnsi="Times New Roman" w:cs="Times New Roman"/>
          <w:sz w:val="24"/>
          <w:szCs w:val="24"/>
        </w:rPr>
        <w:t>, project-based learning</w:t>
      </w:r>
      <w:r w:rsidR="008229DC">
        <w:rPr>
          <w:rFonts w:ascii="Times New Roman" w:eastAsia="Times New Roman" w:hAnsi="Times New Roman" w:cs="Times New Roman"/>
          <w:sz w:val="24"/>
          <w:szCs w:val="24"/>
        </w:rPr>
        <w:t>)</w:t>
      </w:r>
      <w:r w:rsidR="00E4190F" w:rsidRPr="00DC2AB0">
        <w:rPr>
          <w:rFonts w:ascii="Times New Roman" w:eastAsia="Times New Roman" w:hAnsi="Times New Roman" w:cs="Times New Roman"/>
          <w:sz w:val="24"/>
          <w:szCs w:val="24"/>
        </w:rPr>
        <w:t>.</w:t>
      </w:r>
    </w:p>
    <w:p w14:paraId="41EFDFD3" w14:textId="77777777" w:rsidR="00DC2AB0" w:rsidRDefault="00DC2AB0" w:rsidP="00DC2AB0">
      <w:pPr>
        <w:autoSpaceDE w:val="0"/>
        <w:autoSpaceDN w:val="0"/>
        <w:adjustRightInd w:val="0"/>
        <w:spacing w:after="0" w:line="240" w:lineRule="auto"/>
        <w:jc w:val="both"/>
        <w:rPr>
          <w:rFonts w:ascii="Times New Roman" w:eastAsia="Times New Roman" w:hAnsi="Times New Roman" w:cs="Times New Roman"/>
          <w:sz w:val="24"/>
          <w:szCs w:val="24"/>
        </w:rPr>
      </w:pPr>
    </w:p>
    <w:p w14:paraId="2A6A6CCF" w14:textId="77777777" w:rsidR="00DC2AB0" w:rsidRDefault="00DC2AB0" w:rsidP="00DC2AB0">
      <w:pPr>
        <w:autoSpaceDE w:val="0"/>
        <w:autoSpaceDN w:val="0"/>
        <w:adjustRightInd w:val="0"/>
        <w:spacing w:after="0" w:line="240" w:lineRule="auto"/>
        <w:ind w:left="360"/>
        <w:jc w:val="both"/>
        <w:rPr>
          <w:rFonts w:ascii="Times New Roman" w:eastAsia="Times New Roman" w:hAnsi="Times New Roman" w:cs="Times New Roman"/>
          <w:sz w:val="24"/>
          <w:szCs w:val="24"/>
          <w:u w:val="single"/>
        </w:rPr>
      </w:pPr>
      <w:r w:rsidRPr="00DC2AB0">
        <w:rPr>
          <w:rFonts w:ascii="Times New Roman" w:eastAsia="Times New Roman" w:hAnsi="Times New Roman" w:cs="Times New Roman"/>
          <w:sz w:val="24"/>
          <w:szCs w:val="24"/>
          <w:u w:val="single"/>
        </w:rPr>
        <w:t>Performance Outcomes:</w:t>
      </w:r>
    </w:p>
    <w:p w14:paraId="4FDCFBCB" w14:textId="77777777" w:rsidR="00DC2AB0" w:rsidRDefault="00DC2AB0" w:rsidP="00DC2AB0">
      <w:pPr>
        <w:autoSpaceDE w:val="0"/>
        <w:autoSpaceDN w:val="0"/>
        <w:adjustRightInd w:val="0"/>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Specific and measureable performance outcomes will be outlined by the grantee in the proposal. Other deliverables include:</w:t>
      </w:r>
    </w:p>
    <w:p w14:paraId="6BB4763B" w14:textId="77777777" w:rsidR="00DC2AB0" w:rsidRPr="00DC2AB0" w:rsidRDefault="00DC2AB0" w:rsidP="00DC2AB0">
      <w:pPr>
        <w:pStyle w:val="ListParagraph"/>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Statewide Collaboration: </w:t>
      </w:r>
      <w:r w:rsidRPr="00DC2AB0">
        <w:rPr>
          <w:rFonts w:ascii="Times New Roman" w:eastAsia="Times New Roman" w:hAnsi="Times New Roman" w:cs="Times New Roman"/>
          <w:sz w:val="24"/>
          <w:szCs w:val="24"/>
        </w:rPr>
        <w:t xml:space="preserve">Participate in periodic conference calls, webinars, or site visits as requested. </w:t>
      </w:r>
    </w:p>
    <w:p w14:paraId="0528AD53" w14:textId="77777777" w:rsidR="00DC2AB0" w:rsidRPr="00DC2AB0" w:rsidRDefault="00DC2AB0" w:rsidP="00DC2AB0">
      <w:pPr>
        <w:pStyle w:val="ListParagraph"/>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Sharing of Lessons Learned: </w:t>
      </w:r>
      <w:r w:rsidRPr="00DC2AB0">
        <w:rPr>
          <w:rFonts w:ascii="Times New Roman" w:eastAsia="Times New Roman" w:hAnsi="Times New Roman" w:cs="Times New Roman"/>
          <w:sz w:val="24"/>
          <w:szCs w:val="24"/>
        </w:rPr>
        <w:t>Provide information about your project via webinar or at statewide events as requested, which may include presenting final project outcomes at an Academy or at the 2020 Forum for Excellence (September 2020).</w:t>
      </w:r>
    </w:p>
    <w:p w14:paraId="048DEE3F" w14:textId="77777777" w:rsidR="00C90141" w:rsidRPr="00DC2AB0" w:rsidRDefault="00DC2AB0" w:rsidP="00DC2AB0">
      <w:pPr>
        <w:pStyle w:val="ListParagraph"/>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Programmatic and Financial Reporting as detailed in Section F of this NOFO.</w:t>
      </w:r>
    </w:p>
    <w:p w14:paraId="53F996FD" w14:textId="77777777" w:rsidR="00C90141" w:rsidRPr="00DC2AB0" w:rsidRDefault="00C90141" w:rsidP="00A45FD9">
      <w:pPr>
        <w:autoSpaceDE w:val="0"/>
        <w:autoSpaceDN w:val="0"/>
        <w:adjustRightInd w:val="0"/>
        <w:spacing w:after="0" w:line="240" w:lineRule="auto"/>
        <w:ind w:left="2160" w:hanging="2160"/>
        <w:jc w:val="both"/>
        <w:rPr>
          <w:rFonts w:ascii="Times New Roman" w:eastAsia="Times New Roman" w:hAnsi="Times New Roman" w:cs="Times New Roman"/>
          <w:color w:val="9BBB59" w:themeColor="accent3"/>
          <w:sz w:val="24"/>
          <w:szCs w:val="24"/>
        </w:rPr>
      </w:pPr>
    </w:p>
    <w:p w14:paraId="29225947" w14:textId="77777777" w:rsidR="00A0489D" w:rsidRPr="00DC2AB0" w:rsidRDefault="00C4062E" w:rsidP="00A45FD9">
      <w:pPr>
        <w:pStyle w:val="ListParagraph"/>
        <w:numPr>
          <w:ilvl w:val="0"/>
          <w:numId w:val="4"/>
        </w:numPr>
        <w:spacing w:after="0" w:line="240" w:lineRule="auto"/>
        <w:jc w:val="both"/>
        <w:rPr>
          <w:rFonts w:ascii="Times New Roman" w:eastAsia="Times New Roman" w:hAnsi="Times New Roman" w:cs="Times New Roman"/>
          <w:b/>
          <w:sz w:val="24"/>
          <w:szCs w:val="24"/>
        </w:rPr>
      </w:pPr>
      <w:r w:rsidRPr="00DC2AB0">
        <w:rPr>
          <w:rFonts w:ascii="Times New Roman" w:eastAsia="Times New Roman" w:hAnsi="Times New Roman" w:cs="Times New Roman"/>
          <w:b/>
          <w:sz w:val="24"/>
          <w:szCs w:val="24"/>
        </w:rPr>
        <w:t>Funding Information</w:t>
      </w:r>
    </w:p>
    <w:p w14:paraId="25C7CBD1" w14:textId="77777777" w:rsidR="001C71B2" w:rsidRPr="00DC2AB0" w:rsidRDefault="001C71B2" w:rsidP="00A45FD9">
      <w:pPr>
        <w:pStyle w:val="ListParagraph"/>
        <w:spacing w:after="0" w:line="240" w:lineRule="auto"/>
        <w:ind w:left="360"/>
        <w:jc w:val="both"/>
        <w:rPr>
          <w:rFonts w:ascii="Times New Roman" w:eastAsia="Times New Roman" w:hAnsi="Times New Roman" w:cs="Times New Roman"/>
          <w:sz w:val="24"/>
          <w:szCs w:val="24"/>
        </w:rPr>
      </w:pPr>
    </w:p>
    <w:p w14:paraId="7CE2CE4A" w14:textId="77777777" w:rsidR="00DC2AB0" w:rsidRPr="00DC2AB0" w:rsidRDefault="00DC2AB0" w:rsidP="00A45FD9">
      <w:pPr>
        <w:pStyle w:val="ListParagraph"/>
        <w:spacing w:after="0" w:line="240" w:lineRule="auto"/>
        <w:ind w:left="360"/>
        <w:jc w:val="both"/>
        <w:rPr>
          <w:rFonts w:ascii="Times New Roman" w:hAnsi="Times New Roman" w:cs="Times New Roman"/>
          <w:sz w:val="24"/>
          <w:szCs w:val="24"/>
          <w:u w:val="single"/>
        </w:rPr>
      </w:pPr>
      <w:r w:rsidRPr="00DC2AB0">
        <w:rPr>
          <w:rFonts w:ascii="Times New Roman" w:hAnsi="Times New Roman" w:cs="Times New Roman"/>
          <w:sz w:val="24"/>
          <w:szCs w:val="24"/>
          <w:u w:val="single"/>
        </w:rPr>
        <w:t>Grant Period:</w:t>
      </w:r>
    </w:p>
    <w:p w14:paraId="2410E405" w14:textId="00B8F0A2" w:rsidR="00DC2AB0" w:rsidRDefault="00EE2BF5" w:rsidP="00A45FD9">
      <w:pPr>
        <w:pStyle w:val="ListParagraph"/>
        <w:spacing w:after="0" w:line="240" w:lineRule="auto"/>
        <w:ind w:left="360"/>
        <w:jc w:val="both"/>
        <w:rPr>
          <w:rFonts w:ascii="Times New Roman" w:hAnsi="Times New Roman" w:cs="Times New Roman"/>
          <w:sz w:val="24"/>
          <w:szCs w:val="24"/>
        </w:rPr>
      </w:pPr>
      <w:r w:rsidRPr="00DC2AB0">
        <w:rPr>
          <w:rFonts w:ascii="Times New Roman" w:hAnsi="Times New Roman" w:cs="Times New Roman"/>
          <w:sz w:val="24"/>
          <w:szCs w:val="24"/>
        </w:rPr>
        <w:t>This grant is provided through Illinois Community College Board (ICCB) Per</w:t>
      </w:r>
      <w:r w:rsidR="000968A2" w:rsidRPr="00DC2AB0">
        <w:rPr>
          <w:rFonts w:ascii="Times New Roman" w:hAnsi="Times New Roman" w:cs="Times New Roman"/>
          <w:sz w:val="24"/>
          <w:szCs w:val="24"/>
        </w:rPr>
        <w:t>kins (Title I) Leaders</w:t>
      </w:r>
      <w:r w:rsidR="00DC2AB0">
        <w:rPr>
          <w:rFonts w:ascii="Times New Roman" w:hAnsi="Times New Roman" w:cs="Times New Roman"/>
          <w:sz w:val="24"/>
          <w:szCs w:val="24"/>
        </w:rPr>
        <w:t>hip funds</w:t>
      </w:r>
      <w:r w:rsidRPr="00DC2AB0">
        <w:rPr>
          <w:rFonts w:ascii="Times New Roman" w:hAnsi="Times New Roman" w:cs="Times New Roman"/>
          <w:sz w:val="24"/>
          <w:szCs w:val="24"/>
        </w:rPr>
        <w:t>.</w:t>
      </w:r>
      <w:r w:rsidR="000968A2" w:rsidRPr="00DC2AB0">
        <w:rPr>
          <w:rFonts w:ascii="Times New Roman" w:hAnsi="Times New Roman" w:cs="Times New Roman"/>
          <w:sz w:val="24"/>
          <w:szCs w:val="24"/>
        </w:rPr>
        <w:t xml:space="preserve"> The grant period is from </w:t>
      </w:r>
      <w:r w:rsidR="00C4798B">
        <w:rPr>
          <w:rFonts w:ascii="Times New Roman" w:hAnsi="Times New Roman" w:cs="Times New Roman"/>
          <w:sz w:val="24"/>
          <w:szCs w:val="24"/>
        </w:rPr>
        <w:t>January 01, 2019</w:t>
      </w:r>
      <w:r w:rsidR="000968A2" w:rsidRPr="00DC2AB0">
        <w:rPr>
          <w:rFonts w:ascii="Times New Roman" w:hAnsi="Times New Roman" w:cs="Times New Roman"/>
          <w:sz w:val="24"/>
          <w:szCs w:val="24"/>
        </w:rPr>
        <w:t xml:space="preserve"> through </w:t>
      </w:r>
      <w:r w:rsidR="00C4798B">
        <w:rPr>
          <w:rFonts w:ascii="Times New Roman" w:hAnsi="Times New Roman" w:cs="Times New Roman"/>
          <w:sz w:val="24"/>
          <w:szCs w:val="24"/>
        </w:rPr>
        <w:t>June 30, 2020</w:t>
      </w:r>
      <w:r w:rsidR="000968A2" w:rsidRPr="00DC2AB0">
        <w:rPr>
          <w:rFonts w:ascii="Times New Roman" w:hAnsi="Times New Roman" w:cs="Times New Roman"/>
          <w:sz w:val="24"/>
          <w:szCs w:val="24"/>
        </w:rPr>
        <w:t>.</w:t>
      </w:r>
      <w:r w:rsidRPr="00DC2AB0">
        <w:rPr>
          <w:rFonts w:ascii="Times New Roman" w:hAnsi="Times New Roman" w:cs="Times New Roman"/>
          <w:sz w:val="24"/>
          <w:szCs w:val="24"/>
        </w:rPr>
        <w:t xml:space="preserve"> </w:t>
      </w:r>
    </w:p>
    <w:p w14:paraId="51F41B0B" w14:textId="77777777" w:rsidR="00BF3C3C" w:rsidRDefault="00BF3C3C" w:rsidP="00A45FD9">
      <w:pPr>
        <w:pStyle w:val="ListParagraph"/>
        <w:spacing w:after="0" w:line="240" w:lineRule="auto"/>
        <w:ind w:left="360"/>
        <w:jc w:val="both"/>
        <w:rPr>
          <w:rFonts w:ascii="Times New Roman" w:hAnsi="Times New Roman" w:cs="Times New Roman"/>
          <w:sz w:val="24"/>
          <w:szCs w:val="24"/>
        </w:rPr>
      </w:pPr>
    </w:p>
    <w:p w14:paraId="37086677" w14:textId="77777777" w:rsidR="00DC2AB0" w:rsidRDefault="00DC2AB0" w:rsidP="00A45FD9">
      <w:pPr>
        <w:pStyle w:val="ListParagraph"/>
        <w:spacing w:after="0" w:line="240" w:lineRule="auto"/>
        <w:ind w:left="360"/>
        <w:jc w:val="both"/>
        <w:rPr>
          <w:rFonts w:ascii="Times New Roman" w:hAnsi="Times New Roman" w:cs="Times New Roman"/>
          <w:sz w:val="24"/>
          <w:szCs w:val="24"/>
        </w:rPr>
      </w:pPr>
    </w:p>
    <w:p w14:paraId="584FA41E" w14:textId="77777777" w:rsidR="008C2A1C" w:rsidRPr="008C2A1C" w:rsidRDefault="008C2A1C" w:rsidP="00A45FD9">
      <w:pPr>
        <w:pStyle w:val="ListParagraph"/>
        <w:spacing w:after="0" w:line="240" w:lineRule="auto"/>
        <w:ind w:left="360"/>
        <w:jc w:val="both"/>
        <w:rPr>
          <w:rFonts w:ascii="Times New Roman" w:hAnsi="Times New Roman" w:cs="Times New Roman"/>
          <w:sz w:val="24"/>
          <w:szCs w:val="24"/>
          <w:u w:val="single"/>
        </w:rPr>
      </w:pPr>
      <w:r w:rsidRPr="008C2A1C">
        <w:rPr>
          <w:rFonts w:ascii="Times New Roman" w:hAnsi="Times New Roman" w:cs="Times New Roman"/>
          <w:sz w:val="24"/>
          <w:szCs w:val="24"/>
          <w:u w:val="single"/>
        </w:rPr>
        <w:lastRenderedPageBreak/>
        <w:t>Funding Availability:</w:t>
      </w:r>
    </w:p>
    <w:p w14:paraId="0257F848" w14:textId="34C073E4" w:rsidR="00EE2BF5" w:rsidRPr="00DC2AB0" w:rsidRDefault="00E16AED" w:rsidP="00A45FD9">
      <w:pPr>
        <w:pStyle w:val="ListParagraph"/>
        <w:spacing w:after="0" w:line="240" w:lineRule="auto"/>
        <w:ind w:left="360"/>
        <w:jc w:val="both"/>
        <w:rPr>
          <w:rFonts w:ascii="Times New Roman" w:eastAsia="Times New Roman" w:hAnsi="Times New Roman" w:cs="Times New Roman"/>
          <w:sz w:val="24"/>
          <w:szCs w:val="24"/>
        </w:rPr>
      </w:pPr>
      <w:r w:rsidRPr="00DC2AB0">
        <w:rPr>
          <w:rFonts w:ascii="Times New Roman" w:hAnsi="Times New Roman" w:cs="Times New Roman"/>
          <w:sz w:val="24"/>
          <w:szCs w:val="24"/>
        </w:rPr>
        <w:t>G</w:t>
      </w:r>
      <w:r w:rsidR="000968A2" w:rsidRPr="00DC2AB0">
        <w:rPr>
          <w:rFonts w:ascii="Times New Roman" w:hAnsi="Times New Roman" w:cs="Times New Roman"/>
          <w:sz w:val="24"/>
          <w:szCs w:val="24"/>
        </w:rPr>
        <w:t xml:space="preserve">rants </w:t>
      </w:r>
      <w:r w:rsidRPr="00DC2AB0">
        <w:rPr>
          <w:rFonts w:ascii="Times New Roman" w:hAnsi="Times New Roman" w:cs="Times New Roman"/>
          <w:sz w:val="24"/>
          <w:szCs w:val="24"/>
        </w:rPr>
        <w:t>will</w:t>
      </w:r>
      <w:r w:rsidR="000968A2" w:rsidRPr="00DC2AB0">
        <w:rPr>
          <w:rFonts w:ascii="Times New Roman" w:hAnsi="Times New Roman" w:cs="Times New Roman"/>
          <w:sz w:val="24"/>
          <w:szCs w:val="24"/>
        </w:rPr>
        <w:t xml:space="preserve"> be funded at a</w:t>
      </w:r>
      <w:r w:rsidR="00EE2BF5" w:rsidRPr="00DC2AB0">
        <w:rPr>
          <w:rFonts w:ascii="Times New Roman" w:hAnsi="Times New Roman" w:cs="Times New Roman"/>
          <w:sz w:val="24"/>
          <w:szCs w:val="24"/>
        </w:rPr>
        <w:t xml:space="preserve"> minimum</w:t>
      </w:r>
      <w:r w:rsidR="000968A2" w:rsidRPr="00DC2AB0">
        <w:rPr>
          <w:rFonts w:ascii="Times New Roman" w:hAnsi="Times New Roman" w:cs="Times New Roman"/>
          <w:sz w:val="24"/>
          <w:szCs w:val="24"/>
        </w:rPr>
        <w:t xml:space="preserve"> amount</w:t>
      </w:r>
      <w:r w:rsidR="00EE2BF5" w:rsidRPr="00DC2AB0">
        <w:rPr>
          <w:rFonts w:ascii="Times New Roman" w:hAnsi="Times New Roman" w:cs="Times New Roman"/>
          <w:sz w:val="24"/>
          <w:szCs w:val="24"/>
        </w:rPr>
        <w:t xml:space="preserve"> of $25,000 and a maximum</w:t>
      </w:r>
      <w:r w:rsidR="000968A2" w:rsidRPr="00DC2AB0">
        <w:rPr>
          <w:rFonts w:ascii="Times New Roman" w:hAnsi="Times New Roman" w:cs="Times New Roman"/>
          <w:sz w:val="24"/>
          <w:szCs w:val="24"/>
        </w:rPr>
        <w:t xml:space="preserve"> amount</w:t>
      </w:r>
      <w:r w:rsidR="00AC654C">
        <w:rPr>
          <w:rFonts w:ascii="Times New Roman" w:hAnsi="Times New Roman" w:cs="Times New Roman"/>
          <w:sz w:val="24"/>
          <w:szCs w:val="24"/>
        </w:rPr>
        <w:t xml:space="preserve"> of $50</w:t>
      </w:r>
      <w:r w:rsidR="00EE2BF5" w:rsidRPr="00DC2AB0">
        <w:rPr>
          <w:rFonts w:ascii="Times New Roman" w:hAnsi="Times New Roman" w:cs="Times New Roman"/>
          <w:sz w:val="24"/>
          <w:szCs w:val="24"/>
        </w:rPr>
        <w:t>,000</w:t>
      </w:r>
      <w:r w:rsidR="000968A2" w:rsidRPr="00DC2AB0">
        <w:rPr>
          <w:rFonts w:ascii="Times New Roman" w:hAnsi="Times New Roman" w:cs="Times New Roman"/>
          <w:sz w:val="24"/>
          <w:szCs w:val="24"/>
        </w:rPr>
        <w:t xml:space="preserve"> </w:t>
      </w:r>
      <w:r w:rsidR="00EE2BF5" w:rsidRPr="00DC2AB0">
        <w:rPr>
          <w:rFonts w:ascii="Times New Roman" w:hAnsi="Times New Roman" w:cs="Times New Roman"/>
          <w:sz w:val="24"/>
          <w:szCs w:val="24"/>
        </w:rPr>
        <w:t xml:space="preserve">per </w:t>
      </w:r>
      <w:r w:rsidR="000968A2" w:rsidRPr="00DC2AB0">
        <w:rPr>
          <w:rFonts w:ascii="Times New Roman" w:hAnsi="Times New Roman" w:cs="Times New Roman"/>
          <w:sz w:val="24"/>
          <w:szCs w:val="24"/>
        </w:rPr>
        <w:t>project</w:t>
      </w:r>
      <w:r w:rsidR="00DC2AB0">
        <w:rPr>
          <w:rFonts w:ascii="Times New Roman" w:hAnsi="Times New Roman" w:cs="Times New Roman"/>
          <w:sz w:val="24"/>
          <w:szCs w:val="24"/>
        </w:rPr>
        <w:t>, and 10</w:t>
      </w:r>
      <w:r w:rsidR="00EE2BF5" w:rsidRPr="00DC2AB0">
        <w:rPr>
          <w:rFonts w:ascii="Times New Roman" w:hAnsi="Times New Roman" w:cs="Times New Roman"/>
          <w:sz w:val="24"/>
          <w:szCs w:val="24"/>
        </w:rPr>
        <w:t xml:space="preserve">-20 </w:t>
      </w:r>
      <w:r w:rsidR="00DC2AB0">
        <w:rPr>
          <w:rFonts w:ascii="Times New Roman" w:hAnsi="Times New Roman" w:cs="Times New Roman"/>
          <w:sz w:val="24"/>
          <w:szCs w:val="24"/>
        </w:rPr>
        <w:t xml:space="preserve">projects </w:t>
      </w:r>
      <w:r w:rsidR="00EE2BF5" w:rsidRPr="00DC2AB0">
        <w:rPr>
          <w:rFonts w:ascii="Times New Roman" w:hAnsi="Times New Roman" w:cs="Times New Roman"/>
          <w:sz w:val="24"/>
          <w:szCs w:val="24"/>
        </w:rPr>
        <w:t xml:space="preserve">are expected to be funded. Recipients are not eligible to renew </w:t>
      </w:r>
      <w:r w:rsidR="00DC2AB0">
        <w:rPr>
          <w:rFonts w:ascii="Times New Roman" w:hAnsi="Times New Roman" w:cs="Times New Roman"/>
          <w:sz w:val="24"/>
          <w:szCs w:val="24"/>
        </w:rPr>
        <w:t xml:space="preserve">or extend </w:t>
      </w:r>
      <w:r w:rsidR="00EE2BF5" w:rsidRPr="00DC2AB0">
        <w:rPr>
          <w:rFonts w:ascii="Times New Roman" w:hAnsi="Times New Roman" w:cs="Times New Roman"/>
          <w:sz w:val="24"/>
          <w:szCs w:val="24"/>
        </w:rPr>
        <w:t>existing</w:t>
      </w:r>
      <w:r w:rsidR="00DC2AB0">
        <w:rPr>
          <w:rFonts w:ascii="Times New Roman" w:hAnsi="Times New Roman" w:cs="Times New Roman"/>
          <w:sz w:val="24"/>
          <w:szCs w:val="24"/>
        </w:rPr>
        <w:t xml:space="preserve"> grant-funded</w:t>
      </w:r>
      <w:r w:rsidR="00EE2BF5" w:rsidRPr="00DC2AB0">
        <w:rPr>
          <w:rFonts w:ascii="Times New Roman" w:hAnsi="Times New Roman" w:cs="Times New Roman"/>
          <w:sz w:val="24"/>
          <w:szCs w:val="24"/>
        </w:rPr>
        <w:t xml:space="preserve"> projects, but may </w:t>
      </w:r>
      <w:r w:rsidR="00DC2AB0">
        <w:rPr>
          <w:rFonts w:ascii="Times New Roman" w:hAnsi="Times New Roman" w:cs="Times New Roman"/>
          <w:sz w:val="24"/>
          <w:szCs w:val="24"/>
        </w:rPr>
        <w:t>supplement or scale current initiatives</w:t>
      </w:r>
      <w:r w:rsidR="00EE2BF5" w:rsidRPr="00DC2AB0">
        <w:rPr>
          <w:rFonts w:ascii="Times New Roman" w:hAnsi="Times New Roman" w:cs="Times New Roman"/>
          <w:sz w:val="24"/>
          <w:szCs w:val="24"/>
        </w:rPr>
        <w:t>. Colleges may submit more than one g</w:t>
      </w:r>
      <w:r w:rsidR="004B2C5E" w:rsidRPr="00DC2AB0">
        <w:rPr>
          <w:rFonts w:ascii="Times New Roman" w:hAnsi="Times New Roman" w:cs="Times New Roman"/>
          <w:sz w:val="24"/>
          <w:szCs w:val="24"/>
        </w:rPr>
        <w:t>rant proposal per institution</w:t>
      </w:r>
      <w:r w:rsidR="00AC654C">
        <w:rPr>
          <w:rFonts w:ascii="Times New Roman" w:hAnsi="Times New Roman" w:cs="Times New Roman"/>
          <w:sz w:val="24"/>
          <w:szCs w:val="24"/>
        </w:rPr>
        <w:t xml:space="preserve"> but no more than $50</w:t>
      </w:r>
      <w:r w:rsidR="008C2A1C">
        <w:rPr>
          <w:rFonts w:ascii="Times New Roman" w:hAnsi="Times New Roman" w:cs="Times New Roman"/>
          <w:sz w:val="24"/>
          <w:szCs w:val="24"/>
        </w:rPr>
        <w:t>,000 will be awarded to any institution</w:t>
      </w:r>
      <w:r w:rsidR="004B2C5E" w:rsidRPr="00DC2AB0">
        <w:rPr>
          <w:rFonts w:ascii="Times New Roman" w:hAnsi="Times New Roman" w:cs="Times New Roman"/>
          <w:sz w:val="24"/>
          <w:szCs w:val="24"/>
        </w:rPr>
        <w:t>. In order to be eligible to receive funding, recipients must complete a grant proposal, which can be found on the ICCB Career and Technical Education</w:t>
      </w:r>
      <w:r w:rsidR="002829B4" w:rsidRPr="00DC2AB0">
        <w:rPr>
          <w:rFonts w:ascii="Times New Roman" w:hAnsi="Times New Roman" w:cs="Times New Roman"/>
          <w:sz w:val="24"/>
          <w:szCs w:val="24"/>
        </w:rPr>
        <w:t xml:space="preserve"> (CTE)</w:t>
      </w:r>
      <w:r w:rsidR="00C96257">
        <w:rPr>
          <w:rFonts w:ascii="Times New Roman" w:hAnsi="Times New Roman" w:cs="Times New Roman"/>
          <w:sz w:val="24"/>
          <w:szCs w:val="24"/>
        </w:rPr>
        <w:t xml:space="preserve"> website at</w:t>
      </w:r>
      <w:r w:rsidR="004B2C5E" w:rsidRPr="00DC2AB0">
        <w:rPr>
          <w:rFonts w:ascii="Times New Roman" w:hAnsi="Times New Roman" w:cs="Times New Roman"/>
          <w:sz w:val="24"/>
          <w:szCs w:val="24"/>
        </w:rPr>
        <w:t xml:space="preserve"> </w:t>
      </w:r>
      <w:hyperlink r:id="rId9" w:history="1">
        <w:r w:rsidR="00C96257" w:rsidRPr="005E39A4">
          <w:rPr>
            <w:rStyle w:val="Hyperlink"/>
            <w:rFonts w:ascii="Times New Roman" w:hAnsi="Times New Roman" w:cs="Times New Roman"/>
            <w:sz w:val="24"/>
            <w:szCs w:val="24"/>
          </w:rPr>
          <w:t>https://www.iccb.org/cte/?page_id=73</w:t>
        </w:r>
      </w:hyperlink>
      <w:r w:rsidR="00C96257">
        <w:rPr>
          <w:rFonts w:ascii="Times New Roman" w:hAnsi="Times New Roman" w:cs="Times New Roman"/>
          <w:sz w:val="24"/>
          <w:szCs w:val="24"/>
        </w:rPr>
        <w:t>.</w:t>
      </w:r>
    </w:p>
    <w:p w14:paraId="03DC8C6B" w14:textId="77777777" w:rsidR="00EE2BF5" w:rsidRPr="00DC2AB0" w:rsidRDefault="00EE2BF5" w:rsidP="00A45FD9">
      <w:pPr>
        <w:pStyle w:val="ListParagraph"/>
        <w:spacing w:after="0" w:line="240" w:lineRule="auto"/>
        <w:ind w:left="360"/>
        <w:jc w:val="both"/>
        <w:rPr>
          <w:rFonts w:ascii="Times New Roman" w:eastAsia="Times New Roman" w:hAnsi="Times New Roman" w:cs="Times New Roman"/>
          <w:sz w:val="24"/>
          <w:szCs w:val="24"/>
        </w:rPr>
      </w:pPr>
    </w:p>
    <w:p w14:paraId="3F03A96F" w14:textId="77777777" w:rsidR="000968A2" w:rsidRPr="00DC2AB0" w:rsidRDefault="000968A2" w:rsidP="00A45FD9">
      <w:pPr>
        <w:pStyle w:val="ListParagraph"/>
        <w:spacing w:after="0"/>
        <w:ind w:left="360"/>
        <w:jc w:val="both"/>
        <w:rPr>
          <w:rFonts w:ascii="Times New Roman" w:eastAsia="Times New Roman" w:hAnsi="Times New Roman" w:cs="Times New Roman"/>
          <w:b/>
          <w:sz w:val="24"/>
          <w:szCs w:val="24"/>
        </w:rPr>
      </w:pPr>
      <w:r w:rsidRPr="00A54BC4">
        <w:rPr>
          <w:rFonts w:ascii="Times New Roman" w:eastAsia="Times New Roman" w:hAnsi="Times New Roman" w:cs="Times New Roman"/>
          <w:sz w:val="24"/>
          <w:szCs w:val="24"/>
          <w:u w:val="single"/>
        </w:rPr>
        <w:t>Funding Deadlines</w:t>
      </w:r>
      <w:r w:rsidRPr="00A54BC4">
        <w:rPr>
          <w:rFonts w:ascii="Times New Roman" w:eastAsia="Times New Roman" w:hAnsi="Times New Roman" w:cs="Times New Roman"/>
          <w:sz w:val="24"/>
          <w:szCs w:val="24"/>
        </w:rPr>
        <w:t>:</w:t>
      </w:r>
      <w:r w:rsidRPr="00DC2AB0">
        <w:rPr>
          <w:rFonts w:ascii="Times New Roman" w:eastAsia="Times New Roman" w:hAnsi="Times New Roman" w:cs="Times New Roman"/>
          <w:b/>
          <w:sz w:val="24"/>
          <w:szCs w:val="24"/>
        </w:rPr>
        <w:t xml:space="preserve"> </w:t>
      </w:r>
    </w:p>
    <w:p w14:paraId="0A87D984" w14:textId="6095EE44" w:rsidR="000968A2" w:rsidRPr="00DC2AB0" w:rsidRDefault="000968A2" w:rsidP="00A45FD9">
      <w:pPr>
        <w:pStyle w:val="ListParagraph"/>
        <w:numPr>
          <w:ilvl w:val="0"/>
          <w:numId w:val="24"/>
        </w:numPr>
        <w:spacing w:after="0"/>
        <w:jc w:val="both"/>
        <w:rPr>
          <w:rFonts w:ascii="Times New Roman" w:eastAsia="Times New Roman" w:hAnsi="Times New Roman" w:cs="Times New Roman"/>
          <w:sz w:val="24"/>
          <w:szCs w:val="24"/>
        </w:rPr>
      </w:pPr>
      <w:r w:rsidRPr="00DC2AB0">
        <w:rPr>
          <w:rFonts w:ascii="Times New Roman" w:eastAsia="Times New Roman" w:hAnsi="Times New Roman" w:cs="Times New Roman"/>
          <w:sz w:val="24"/>
          <w:szCs w:val="24"/>
        </w:rPr>
        <w:t xml:space="preserve">Grant funds must be obligated by </w:t>
      </w:r>
      <w:r w:rsidR="00A54BC4">
        <w:rPr>
          <w:rFonts w:ascii="Times New Roman" w:eastAsia="Times New Roman" w:hAnsi="Times New Roman" w:cs="Times New Roman"/>
          <w:sz w:val="24"/>
          <w:szCs w:val="24"/>
        </w:rPr>
        <w:t>June 30, 2020</w:t>
      </w:r>
      <w:r w:rsidRPr="00DC2AB0">
        <w:rPr>
          <w:rFonts w:ascii="Times New Roman" w:eastAsia="Times New Roman" w:hAnsi="Times New Roman" w:cs="Times New Roman"/>
          <w:sz w:val="24"/>
          <w:szCs w:val="24"/>
        </w:rPr>
        <w:t xml:space="preserve">.  </w:t>
      </w:r>
    </w:p>
    <w:p w14:paraId="18B04B1D" w14:textId="0D5C67AD" w:rsidR="000968A2" w:rsidRPr="00DC2AB0" w:rsidRDefault="000968A2" w:rsidP="00A45FD9">
      <w:pPr>
        <w:pStyle w:val="ListParagraph"/>
        <w:numPr>
          <w:ilvl w:val="0"/>
          <w:numId w:val="24"/>
        </w:numPr>
        <w:spacing w:after="0"/>
        <w:jc w:val="both"/>
        <w:rPr>
          <w:rFonts w:ascii="Times New Roman" w:eastAsia="Times New Roman" w:hAnsi="Times New Roman" w:cs="Times New Roman"/>
          <w:sz w:val="24"/>
          <w:szCs w:val="24"/>
        </w:rPr>
      </w:pPr>
      <w:r w:rsidRPr="00DC2AB0">
        <w:rPr>
          <w:rFonts w:ascii="Times New Roman" w:eastAsia="Times New Roman" w:hAnsi="Times New Roman" w:cs="Times New Roman"/>
          <w:sz w:val="24"/>
          <w:szCs w:val="24"/>
        </w:rPr>
        <w:t xml:space="preserve">Good/products must be ordered by </w:t>
      </w:r>
      <w:r w:rsidR="00A54BC4">
        <w:rPr>
          <w:rFonts w:ascii="Times New Roman" w:eastAsia="Times New Roman" w:hAnsi="Times New Roman" w:cs="Times New Roman"/>
          <w:sz w:val="24"/>
          <w:szCs w:val="24"/>
        </w:rPr>
        <w:t>June 30, 2020</w:t>
      </w:r>
      <w:r w:rsidRPr="00DC2AB0">
        <w:rPr>
          <w:rFonts w:ascii="Times New Roman" w:eastAsia="Times New Roman" w:hAnsi="Times New Roman" w:cs="Times New Roman"/>
          <w:sz w:val="24"/>
          <w:szCs w:val="24"/>
        </w:rPr>
        <w:t xml:space="preserve">/received by </w:t>
      </w:r>
      <w:r w:rsidR="00A54BC4">
        <w:rPr>
          <w:rFonts w:ascii="Times New Roman" w:eastAsia="Times New Roman" w:hAnsi="Times New Roman" w:cs="Times New Roman"/>
          <w:sz w:val="24"/>
          <w:szCs w:val="24"/>
        </w:rPr>
        <w:t>August 31, 2020</w:t>
      </w:r>
      <w:r w:rsidRPr="00DC2AB0">
        <w:rPr>
          <w:rFonts w:ascii="Times New Roman" w:eastAsia="Times New Roman" w:hAnsi="Times New Roman" w:cs="Times New Roman"/>
          <w:sz w:val="24"/>
          <w:szCs w:val="24"/>
        </w:rPr>
        <w:t>.</w:t>
      </w:r>
    </w:p>
    <w:p w14:paraId="3E3E46D1" w14:textId="3764CAA1" w:rsidR="000968A2" w:rsidRPr="00DC2AB0" w:rsidRDefault="000968A2" w:rsidP="00A45FD9">
      <w:pPr>
        <w:pStyle w:val="ListParagraph"/>
        <w:numPr>
          <w:ilvl w:val="0"/>
          <w:numId w:val="24"/>
        </w:numPr>
        <w:spacing w:after="0"/>
        <w:jc w:val="both"/>
        <w:rPr>
          <w:rFonts w:ascii="Times New Roman" w:eastAsia="Times New Roman" w:hAnsi="Times New Roman" w:cs="Times New Roman"/>
          <w:sz w:val="24"/>
          <w:szCs w:val="24"/>
        </w:rPr>
      </w:pPr>
      <w:r w:rsidRPr="00DC2AB0">
        <w:rPr>
          <w:rFonts w:ascii="Times New Roman" w:eastAsia="Times New Roman" w:hAnsi="Times New Roman" w:cs="Times New Roman"/>
          <w:sz w:val="24"/>
          <w:szCs w:val="24"/>
        </w:rPr>
        <w:t xml:space="preserve">Services must be rendered by </w:t>
      </w:r>
      <w:r w:rsidR="00A54BC4">
        <w:rPr>
          <w:rFonts w:ascii="Times New Roman" w:eastAsia="Times New Roman" w:hAnsi="Times New Roman" w:cs="Times New Roman"/>
          <w:sz w:val="24"/>
          <w:szCs w:val="24"/>
        </w:rPr>
        <w:t>June 30, 2020</w:t>
      </w:r>
      <w:r w:rsidRPr="00DC2AB0">
        <w:rPr>
          <w:rFonts w:ascii="Times New Roman" w:eastAsia="Times New Roman" w:hAnsi="Times New Roman" w:cs="Times New Roman"/>
          <w:sz w:val="24"/>
          <w:szCs w:val="24"/>
        </w:rPr>
        <w:t>.</w:t>
      </w:r>
    </w:p>
    <w:p w14:paraId="762F8B00" w14:textId="22A129A6" w:rsidR="000968A2" w:rsidRPr="00DC2AB0" w:rsidRDefault="000968A2" w:rsidP="00A45FD9">
      <w:pPr>
        <w:pStyle w:val="ListParagraph"/>
        <w:numPr>
          <w:ilvl w:val="0"/>
          <w:numId w:val="24"/>
        </w:numPr>
        <w:spacing w:after="0"/>
        <w:jc w:val="both"/>
        <w:rPr>
          <w:rFonts w:ascii="Times New Roman" w:eastAsia="Times New Roman" w:hAnsi="Times New Roman" w:cs="Times New Roman"/>
          <w:sz w:val="24"/>
          <w:szCs w:val="24"/>
        </w:rPr>
      </w:pPr>
      <w:r w:rsidRPr="00DC2AB0">
        <w:rPr>
          <w:rFonts w:ascii="Times New Roman" w:eastAsia="Times New Roman" w:hAnsi="Times New Roman" w:cs="Times New Roman"/>
          <w:sz w:val="24"/>
          <w:szCs w:val="24"/>
        </w:rPr>
        <w:t xml:space="preserve">Grant funds must be requested by </w:t>
      </w:r>
      <w:r w:rsidR="00A54BC4">
        <w:rPr>
          <w:rFonts w:ascii="Times New Roman" w:eastAsia="Times New Roman" w:hAnsi="Times New Roman" w:cs="Times New Roman"/>
          <w:sz w:val="24"/>
          <w:szCs w:val="24"/>
        </w:rPr>
        <w:t>August</w:t>
      </w:r>
      <w:r w:rsidRPr="00DC2AB0">
        <w:rPr>
          <w:rFonts w:ascii="Times New Roman" w:eastAsia="Times New Roman" w:hAnsi="Times New Roman" w:cs="Times New Roman"/>
          <w:sz w:val="24"/>
          <w:szCs w:val="24"/>
        </w:rPr>
        <w:t xml:space="preserve"> 01, 2020.</w:t>
      </w:r>
    </w:p>
    <w:p w14:paraId="18F47F5B" w14:textId="2D3CB96F" w:rsidR="000968A2" w:rsidRPr="00DC2AB0" w:rsidRDefault="000968A2" w:rsidP="00A45FD9">
      <w:pPr>
        <w:pStyle w:val="ListParagraph"/>
        <w:numPr>
          <w:ilvl w:val="0"/>
          <w:numId w:val="24"/>
        </w:numPr>
        <w:spacing w:after="0"/>
        <w:jc w:val="both"/>
        <w:rPr>
          <w:rFonts w:ascii="Times New Roman" w:eastAsia="Times New Roman" w:hAnsi="Times New Roman" w:cs="Times New Roman"/>
          <w:b/>
          <w:sz w:val="24"/>
          <w:szCs w:val="24"/>
        </w:rPr>
      </w:pPr>
      <w:r w:rsidRPr="00DC2AB0">
        <w:rPr>
          <w:rFonts w:ascii="Times New Roman" w:eastAsia="Times New Roman" w:hAnsi="Times New Roman" w:cs="Times New Roman"/>
          <w:sz w:val="24"/>
          <w:szCs w:val="24"/>
        </w:rPr>
        <w:t>Grant funds</w:t>
      </w:r>
      <w:r w:rsidR="00A54BC4">
        <w:rPr>
          <w:rFonts w:ascii="Times New Roman" w:eastAsia="Times New Roman" w:hAnsi="Times New Roman" w:cs="Times New Roman"/>
          <w:sz w:val="24"/>
          <w:szCs w:val="24"/>
        </w:rPr>
        <w:t xml:space="preserve"> must be expended by August 31</w:t>
      </w:r>
      <w:r w:rsidRPr="00DC2AB0">
        <w:rPr>
          <w:rFonts w:ascii="Times New Roman" w:eastAsia="Times New Roman" w:hAnsi="Times New Roman" w:cs="Times New Roman"/>
          <w:sz w:val="24"/>
          <w:szCs w:val="24"/>
        </w:rPr>
        <w:t>, 2020.</w:t>
      </w:r>
    </w:p>
    <w:p w14:paraId="76C67F60" w14:textId="77777777" w:rsidR="00EE2BF5" w:rsidRPr="00DC2AB0" w:rsidRDefault="00EE2BF5" w:rsidP="00A45FD9">
      <w:pPr>
        <w:pStyle w:val="ListParagraph"/>
        <w:spacing w:after="0" w:line="240" w:lineRule="auto"/>
        <w:ind w:left="360"/>
        <w:jc w:val="both"/>
        <w:rPr>
          <w:rFonts w:ascii="Times New Roman" w:eastAsia="Times New Roman" w:hAnsi="Times New Roman" w:cs="Times New Roman"/>
          <w:sz w:val="24"/>
          <w:szCs w:val="24"/>
        </w:rPr>
      </w:pPr>
    </w:p>
    <w:p w14:paraId="3811845B" w14:textId="77777777" w:rsidR="000968A2" w:rsidRPr="00DC2AB0" w:rsidRDefault="000968A2" w:rsidP="00A45FD9">
      <w:pPr>
        <w:pStyle w:val="ListParagraph"/>
        <w:spacing w:line="240" w:lineRule="auto"/>
        <w:ind w:left="360"/>
        <w:jc w:val="both"/>
        <w:rPr>
          <w:rFonts w:ascii="Times New Roman" w:eastAsia="Times New Roman" w:hAnsi="Times New Roman" w:cs="Times New Roman"/>
          <w:sz w:val="24"/>
          <w:szCs w:val="24"/>
        </w:rPr>
      </w:pPr>
      <w:r w:rsidRPr="00DC2AB0">
        <w:rPr>
          <w:rFonts w:ascii="Times New Roman" w:eastAsia="Times New Roman" w:hAnsi="Times New Roman" w:cs="Times New Roman"/>
          <w:sz w:val="24"/>
          <w:szCs w:val="24"/>
          <w:u w:val="single"/>
        </w:rPr>
        <w:t>Supplanting</w:t>
      </w:r>
      <w:r w:rsidRPr="00DC2AB0">
        <w:rPr>
          <w:rFonts w:ascii="Times New Roman" w:eastAsia="Times New Roman" w:hAnsi="Times New Roman" w:cs="Times New Roman"/>
          <w:sz w:val="24"/>
          <w:szCs w:val="24"/>
        </w:rPr>
        <w:t>:</w:t>
      </w:r>
    </w:p>
    <w:p w14:paraId="130F61EA" w14:textId="77777777" w:rsidR="000968A2" w:rsidRPr="00DC2AB0" w:rsidRDefault="000968A2" w:rsidP="00A45FD9">
      <w:pPr>
        <w:pStyle w:val="ListParagraph"/>
        <w:spacing w:line="240" w:lineRule="auto"/>
        <w:ind w:left="360"/>
        <w:jc w:val="both"/>
        <w:rPr>
          <w:rFonts w:ascii="Times New Roman" w:eastAsia="Times New Roman" w:hAnsi="Times New Roman" w:cs="Times New Roman"/>
          <w:sz w:val="24"/>
          <w:szCs w:val="24"/>
        </w:rPr>
      </w:pPr>
      <w:r w:rsidRPr="00DC2AB0">
        <w:rPr>
          <w:rFonts w:ascii="Times New Roman" w:eastAsia="Times New Roman" w:hAnsi="Times New Roman" w:cs="Times New Roman"/>
          <w:sz w:val="24"/>
          <w:szCs w:val="24"/>
        </w:rPr>
        <w:t xml:space="preserve">Perkins funds should supplement, not supplant, non-federal funds expended for CTE activities. Examples of supplanting are as follows: </w:t>
      </w:r>
    </w:p>
    <w:p w14:paraId="502C1317" w14:textId="77777777" w:rsidR="000968A2" w:rsidRPr="00DC2AB0" w:rsidRDefault="000968A2" w:rsidP="00A45FD9">
      <w:pPr>
        <w:pStyle w:val="ListParagraph"/>
        <w:ind w:left="360"/>
        <w:jc w:val="both"/>
        <w:rPr>
          <w:rFonts w:ascii="Times New Roman" w:eastAsia="Times New Roman" w:hAnsi="Times New Roman" w:cs="Times New Roman"/>
          <w:sz w:val="24"/>
          <w:szCs w:val="24"/>
        </w:rPr>
      </w:pPr>
    </w:p>
    <w:p w14:paraId="45E54554" w14:textId="77777777" w:rsidR="000968A2" w:rsidRPr="00DC2AB0" w:rsidRDefault="000968A2" w:rsidP="00A45FD9">
      <w:pPr>
        <w:pStyle w:val="ListParagraph"/>
        <w:spacing w:line="240" w:lineRule="auto"/>
        <w:ind w:left="360"/>
        <w:jc w:val="both"/>
        <w:rPr>
          <w:rFonts w:ascii="Times New Roman" w:eastAsia="Times New Roman" w:hAnsi="Times New Roman" w:cs="Times New Roman"/>
          <w:sz w:val="24"/>
          <w:szCs w:val="24"/>
        </w:rPr>
      </w:pPr>
      <w:r w:rsidRPr="00DC2AB0">
        <w:rPr>
          <w:rFonts w:ascii="Times New Roman" w:eastAsia="Times New Roman" w:hAnsi="Times New Roman" w:cs="Times New Roman"/>
          <w:sz w:val="24"/>
          <w:szCs w:val="24"/>
        </w:rPr>
        <w:t xml:space="preserve">An eligible recipient uses Perkins funds to provide services that the recipient: </w:t>
      </w:r>
    </w:p>
    <w:p w14:paraId="07A1778B" w14:textId="77777777" w:rsidR="000968A2" w:rsidRPr="00DC2AB0" w:rsidRDefault="000968A2" w:rsidP="00A45FD9">
      <w:pPr>
        <w:pStyle w:val="ListParagraph"/>
        <w:numPr>
          <w:ilvl w:val="0"/>
          <w:numId w:val="23"/>
        </w:numPr>
        <w:spacing w:line="240" w:lineRule="auto"/>
        <w:jc w:val="both"/>
        <w:rPr>
          <w:rFonts w:ascii="Times New Roman" w:eastAsia="Times New Roman" w:hAnsi="Times New Roman" w:cs="Times New Roman"/>
          <w:sz w:val="24"/>
          <w:szCs w:val="24"/>
        </w:rPr>
      </w:pPr>
      <w:r w:rsidRPr="00DC2AB0">
        <w:rPr>
          <w:rFonts w:ascii="Times New Roman" w:eastAsia="Times New Roman" w:hAnsi="Times New Roman" w:cs="Times New Roman"/>
          <w:sz w:val="24"/>
          <w:szCs w:val="24"/>
        </w:rPr>
        <w:t>was required to make available under other federal, state, or local law, except as permitted by Section 324(c) of Perkins IV;</w:t>
      </w:r>
    </w:p>
    <w:p w14:paraId="5873C2AC" w14:textId="77777777" w:rsidR="000968A2" w:rsidRPr="00DC2AB0" w:rsidRDefault="000968A2" w:rsidP="00A45FD9">
      <w:pPr>
        <w:pStyle w:val="ListParagraph"/>
        <w:numPr>
          <w:ilvl w:val="0"/>
          <w:numId w:val="23"/>
        </w:numPr>
        <w:spacing w:line="240" w:lineRule="auto"/>
        <w:jc w:val="both"/>
        <w:rPr>
          <w:rFonts w:ascii="Times New Roman" w:eastAsia="Times New Roman" w:hAnsi="Times New Roman" w:cs="Times New Roman"/>
          <w:sz w:val="24"/>
          <w:szCs w:val="24"/>
        </w:rPr>
      </w:pPr>
      <w:r w:rsidRPr="00DC2AB0">
        <w:rPr>
          <w:rFonts w:ascii="Times New Roman" w:eastAsia="Times New Roman" w:hAnsi="Times New Roman" w:cs="Times New Roman"/>
          <w:sz w:val="24"/>
          <w:szCs w:val="24"/>
        </w:rPr>
        <w:t>was provided with non-federal funds the year prior; or,</w:t>
      </w:r>
    </w:p>
    <w:p w14:paraId="6C001CA5" w14:textId="77777777" w:rsidR="00AD2A2D" w:rsidRPr="00DC2AB0" w:rsidRDefault="000968A2" w:rsidP="00A45FD9">
      <w:pPr>
        <w:pStyle w:val="ListParagraph"/>
        <w:numPr>
          <w:ilvl w:val="0"/>
          <w:numId w:val="23"/>
        </w:numPr>
        <w:spacing w:after="0" w:line="240" w:lineRule="auto"/>
        <w:jc w:val="both"/>
        <w:rPr>
          <w:rFonts w:ascii="Times New Roman" w:eastAsia="Times New Roman" w:hAnsi="Times New Roman" w:cs="Times New Roman"/>
          <w:sz w:val="24"/>
          <w:szCs w:val="24"/>
        </w:rPr>
      </w:pPr>
      <w:r w:rsidRPr="00DC2AB0">
        <w:rPr>
          <w:rFonts w:ascii="Times New Roman" w:eastAsia="Times New Roman" w:hAnsi="Times New Roman" w:cs="Times New Roman"/>
          <w:sz w:val="24"/>
          <w:szCs w:val="24"/>
        </w:rPr>
        <w:t>was provided with non-federal funds for non-CTE students but charged to Perkins for CTE students.</w:t>
      </w:r>
    </w:p>
    <w:p w14:paraId="5B57CFD0" w14:textId="77777777" w:rsidR="004B2C5E" w:rsidRPr="00DC2AB0" w:rsidRDefault="004B2C5E" w:rsidP="00A45FD9">
      <w:pPr>
        <w:spacing w:after="0" w:line="240" w:lineRule="auto"/>
        <w:jc w:val="both"/>
        <w:rPr>
          <w:rFonts w:ascii="Times New Roman" w:eastAsia="Times New Roman" w:hAnsi="Times New Roman" w:cs="Times New Roman"/>
          <w:sz w:val="24"/>
          <w:szCs w:val="24"/>
        </w:rPr>
      </w:pPr>
    </w:p>
    <w:p w14:paraId="52CC51BA" w14:textId="77777777" w:rsidR="00AD2A2D" w:rsidRPr="00DC2AB0" w:rsidRDefault="00AD2A2D" w:rsidP="00A45FD9">
      <w:pPr>
        <w:pStyle w:val="ListParagraph"/>
        <w:spacing w:after="0" w:line="240" w:lineRule="auto"/>
        <w:ind w:left="360"/>
        <w:jc w:val="both"/>
        <w:rPr>
          <w:rFonts w:ascii="Times New Roman" w:eastAsia="Times New Roman" w:hAnsi="Times New Roman" w:cs="Times New Roman"/>
          <w:sz w:val="24"/>
          <w:szCs w:val="24"/>
          <w:u w:val="single"/>
        </w:rPr>
      </w:pPr>
      <w:r w:rsidRPr="00DC2AB0">
        <w:rPr>
          <w:rFonts w:ascii="Times New Roman" w:eastAsia="Times New Roman" w:hAnsi="Times New Roman" w:cs="Times New Roman"/>
          <w:sz w:val="24"/>
          <w:szCs w:val="24"/>
          <w:u w:val="single"/>
        </w:rPr>
        <w:t>Cost Sharing or Matching</w:t>
      </w:r>
      <w:r w:rsidRPr="00DC2AB0">
        <w:rPr>
          <w:rFonts w:ascii="Times New Roman" w:eastAsia="Times New Roman" w:hAnsi="Times New Roman" w:cs="Times New Roman"/>
          <w:sz w:val="24"/>
          <w:szCs w:val="24"/>
        </w:rPr>
        <w:t>:</w:t>
      </w:r>
    </w:p>
    <w:p w14:paraId="03682D62" w14:textId="77777777" w:rsidR="00AD2A2D" w:rsidRPr="00DC2AB0" w:rsidRDefault="008C2A1C" w:rsidP="00A45FD9">
      <w:pPr>
        <w:pStyle w:val="ListParagraph"/>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 applicable.</w:t>
      </w:r>
    </w:p>
    <w:p w14:paraId="4EA1AFCA" w14:textId="77777777" w:rsidR="00AD2A2D" w:rsidRPr="00DC2AB0" w:rsidRDefault="00AD2A2D" w:rsidP="00A45FD9">
      <w:pPr>
        <w:pStyle w:val="ListParagraph"/>
        <w:spacing w:after="0" w:line="240" w:lineRule="auto"/>
        <w:ind w:left="360"/>
        <w:jc w:val="both"/>
        <w:rPr>
          <w:rFonts w:ascii="Times New Roman" w:eastAsia="Times New Roman" w:hAnsi="Times New Roman" w:cs="Times New Roman"/>
          <w:sz w:val="24"/>
          <w:szCs w:val="24"/>
          <w:u w:val="single"/>
        </w:rPr>
      </w:pPr>
    </w:p>
    <w:p w14:paraId="2BE1B226" w14:textId="77777777" w:rsidR="00C84658" w:rsidRDefault="004B2C5E" w:rsidP="00A45FD9">
      <w:pPr>
        <w:pStyle w:val="ListParagraph"/>
        <w:spacing w:after="0" w:line="240" w:lineRule="auto"/>
        <w:ind w:left="360"/>
        <w:jc w:val="both"/>
        <w:rPr>
          <w:rFonts w:ascii="Times New Roman" w:eastAsia="Times New Roman" w:hAnsi="Times New Roman" w:cs="Times New Roman"/>
          <w:sz w:val="24"/>
          <w:szCs w:val="24"/>
        </w:rPr>
      </w:pPr>
      <w:r w:rsidRPr="00DC2AB0">
        <w:rPr>
          <w:rFonts w:ascii="Times New Roman" w:eastAsia="Times New Roman" w:hAnsi="Times New Roman" w:cs="Times New Roman"/>
          <w:sz w:val="24"/>
          <w:szCs w:val="24"/>
          <w:u w:val="single"/>
        </w:rPr>
        <w:t>Allowable and U</w:t>
      </w:r>
      <w:r w:rsidR="00AF3A96" w:rsidRPr="00DC2AB0">
        <w:rPr>
          <w:rFonts w:ascii="Times New Roman" w:eastAsia="Times New Roman" w:hAnsi="Times New Roman" w:cs="Times New Roman"/>
          <w:sz w:val="24"/>
          <w:szCs w:val="24"/>
          <w:u w:val="single"/>
        </w:rPr>
        <w:t xml:space="preserve">nallowable </w:t>
      </w:r>
      <w:r w:rsidRPr="00DC2AB0">
        <w:rPr>
          <w:rFonts w:ascii="Times New Roman" w:eastAsia="Times New Roman" w:hAnsi="Times New Roman" w:cs="Times New Roman"/>
          <w:sz w:val="24"/>
          <w:szCs w:val="24"/>
          <w:u w:val="single"/>
        </w:rPr>
        <w:t>Expenditures</w:t>
      </w:r>
      <w:r w:rsidRPr="00DC2AB0">
        <w:rPr>
          <w:rFonts w:ascii="Times New Roman" w:eastAsia="Times New Roman" w:hAnsi="Times New Roman" w:cs="Times New Roman"/>
          <w:sz w:val="24"/>
          <w:szCs w:val="24"/>
        </w:rPr>
        <w:t>:</w:t>
      </w:r>
      <w:r w:rsidR="00B7483F" w:rsidRPr="00DC2AB0">
        <w:rPr>
          <w:rFonts w:ascii="Times New Roman" w:eastAsia="Times New Roman" w:hAnsi="Times New Roman" w:cs="Times New Roman"/>
          <w:sz w:val="24"/>
          <w:szCs w:val="24"/>
        </w:rPr>
        <w:t xml:space="preserve"> </w:t>
      </w:r>
    </w:p>
    <w:p w14:paraId="11DE26BD" w14:textId="0368B6D1" w:rsidR="008C2A1C" w:rsidRDefault="008C2A1C" w:rsidP="00A45FD9">
      <w:pPr>
        <w:pStyle w:val="ListParagraph"/>
        <w:spacing w:after="0" w:line="240" w:lineRule="auto"/>
        <w:ind w:left="360"/>
        <w:jc w:val="both"/>
        <w:rPr>
          <w:rFonts w:ascii="Times New Roman" w:hAnsi="Times New Roman" w:cs="Times New Roman"/>
          <w:sz w:val="24"/>
          <w:szCs w:val="24"/>
        </w:rPr>
      </w:pPr>
      <w:r>
        <w:rPr>
          <w:rFonts w:ascii="Times New Roman" w:eastAsia="Times New Roman" w:hAnsi="Times New Roman" w:cs="Times New Roman"/>
          <w:sz w:val="24"/>
          <w:szCs w:val="24"/>
        </w:rPr>
        <w:t>Grant recipients must a</w:t>
      </w:r>
      <w:r w:rsidRPr="008C2A1C">
        <w:rPr>
          <w:rFonts w:ascii="Times New Roman" w:eastAsia="Times New Roman" w:hAnsi="Times New Roman" w:cs="Times New Roman"/>
          <w:sz w:val="24"/>
          <w:szCs w:val="24"/>
        </w:rPr>
        <w:t>dhere to the Education Department General Administrative Regulation</w:t>
      </w:r>
      <w:r>
        <w:rPr>
          <w:rFonts w:ascii="Times New Roman" w:eastAsia="Times New Roman" w:hAnsi="Times New Roman" w:cs="Times New Roman"/>
          <w:sz w:val="24"/>
          <w:szCs w:val="24"/>
        </w:rPr>
        <w:t xml:space="preserve">s (EDGAR) Part 2 C.F.R. 200, </w:t>
      </w:r>
      <w:r w:rsidRPr="008C2A1C">
        <w:rPr>
          <w:rFonts w:ascii="Times New Roman" w:eastAsia="Times New Roman" w:hAnsi="Times New Roman" w:cs="Times New Roman"/>
          <w:sz w:val="24"/>
          <w:szCs w:val="24"/>
        </w:rPr>
        <w:t>the Grant Accounta</w:t>
      </w:r>
      <w:r>
        <w:rPr>
          <w:rFonts w:ascii="Times New Roman" w:eastAsia="Times New Roman" w:hAnsi="Times New Roman" w:cs="Times New Roman"/>
          <w:sz w:val="24"/>
          <w:szCs w:val="24"/>
        </w:rPr>
        <w:t xml:space="preserve">bility Transparency Act (GATA), unless otherwise permitted under </w:t>
      </w:r>
      <w:r w:rsidRPr="00DC2AB0">
        <w:rPr>
          <w:rFonts w:ascii="Times New Roman" w:hAnsi="Times New Roman" w:cs="Times New Roman"/>
          <w:sz w:val="24"/>
          <w:szCs w:val="24"/>
        </w:rPr>
        <w:t>Section 135 of the Carl D. Perkins Career and Technical Education Improvement Act of 200</w:t>
      </w:r>
      <w:r>
        <w:rPr>
          <w:rFonts w:ascii="Times New Roman" w:hAnsi="Times New Roman" w:cs="Times New Roman"/>
          <w:sz w:val="24"/>
          <w:szCs w:val="24"/>
        </w:rPr>
        <w:t xml:space="preserve">6. For additional guidance on allowable and unallowable expenditures, please see </w:t>
      </w:r>
      <w:r w:rsidR="0053137A">
        <w:rPr>
          <w:rFonts w:ascii="Times New Roman" w:hAnsi="Times New Roman" w:cs="Times New Roman"/>
          <w:sz w:val="24"/>
          <w:szCs w:val="24"/>
        </w:rPr>
        <w:t xml:space="preserve">this </w:t>
      </w:r>
      <w:hyperlink r:id="rId10" w:history="1">
        <w:r w:rsidR="0053137A" w:rsidRPr="0053137A">
          <w:rPr>
            <w:rStyle w:val="Hyperlink"/>
            <w:rFonts w:ascii="Times New Roman" w:hAnsi="Times New Roman" w:cs="Times New Roman"/>
            <w:sz w:val="24"/>
            <w:szCs w:val="24"/>
          </w:rPr>
          <w:t>Perkins expenditure resource</w:t>
        </w:r>
      </w:hyperlink>
      <w:r w:rsidR="0053137A">
        <w:rPr>
          <w:rFonts w:ascii="Times New Roman" w:hAnsi="Times New Roman" w:cs="Times New Roman"/>
          <w:sz w:val="24"/>
          <w:szCs w:val="24"/>
        </w:rPr>
        <w:t>.</w:t>
      </w:r>
    </w:p>
    <w:p w14:paraId="633A2546" w14:textId="2BF70E22" w:rsidR="00BF3C3C" w:rsidRDefault="00BF3C3C" w:rsidP="00A45FD9">
      <w:pPr>
        <w:pStyle w:val="ListParagraph"/>
        <w:spacing w:after="0" w:line="240" w:lineRule="auto"/>
        <w:ind w:left="360"/>
        <w:jc w:val="both"/>
        <w:rPr>
          <w:rFonts w:ascii="Times New Roman" w:hAnsi="Times New Roman" w:cs="Times New Roman"/>
          <w:sz w:val="24"/>
          <w:szCs w:val="24"/>
        </w:rPr>
      </w:pPr>
    </w:p>
    <w:p w14:paraId="3FE5FD8D" w14:textId="3B312345" w:rsidR="00BF3C3C" w:rsidRDefault="00BF3C3C" w:rsidP="00A45FD9">
      <w:pPr>
        <w:pStyle w:val="ListParagraph"/>
        <w:spacing w:after="0" w:line="240" w:lineRule="auto"/>
        <w:ind w:left="360"/>
        <w:jc w:val="both"/>
        <w:rPr>
          <w:rFonts w:ascii="Times New Roman" w:hAnsi="Times New Roman" w:cs="Times New Roman"/>
          <w:sz w:val="24"/>
          <w:szCs w:val="24"/>
        </w:rPr>
      </w:pPr>
    </w:p>
    <w:p w14:paraId="6722F4A4" w14:textId="3E637E62" w:rsidR="00BF3C3C" w:rsidRDefault="00BF3C3C" w:rsidP="00A45FD9">
      <w:pPr>
        <w:pStyle w:val="ListParagraph"/>
        <w:spacing w:after="0" w:line="240" w:lineRule="auto"/>
        <w:ind w:left="360"/>
        <w:jc w:val="both"/>
        <w:rPr>
          <w:rFonts w:ascii="Times New Roman" w:hAnsi="Times New Roman" w:cs="Times New Roman"/>
          <w:sz w:val="24"/>
          <w:szCs w:val="24"/>
        </w:rPr>
      </w:pPr>
    </w:p>
    <w:p w14:paraId="09F4519E" w14:textId="3549F538" w:rsidR="00BF3C3C" w:rsidRDefault="00BF3C3C" w:rsidP="00A45FD9">
      <w:pPr>
        <w:pStyle w:val="ListParagraph"/>
        <w:spacing w:after="0" w:line="240" w:lineRule="auto"/>
        <w:ind w:left="360"/>
        <w:jc w:val="both"/>
        <w:rPr>
          <w:rFonts w:ascii="Times New Roman" w:hAnsi="Times New Roman" w:cs="Times New Roman"/>
          <w:sz w:val="24"/>
          <w:szCs w:val="24"/>
        </w:rPr>
      </w:pPr>
    </w:p>
    <w:p w14:paraId="715127CD" w14:textId="1C9B422D" w:rsidR="00BF3C3C" w:rsidRDefault="00BF3C3C" w:rsidP="00A45FD9">
      <w:pPr>
        <w:pStyle w:val="ListParagraph"/>
        <w:spacing w:after="0" w:line="240" w:lineRule="auto"/>
        <w:ind w:left="360"/>
        <w:jc w:val="both"/>
        <w:rPr>
          <w:rFonts w:ascii="Times New Roman" w:hAnsi="Times New Roman" w:cs="Times New Roman"/>
          <w:sz w:val="24"/>
          <w:szCs w:val="24"/>
        </w:rPr>
      </w:pPr>
    </w:p>
    <w:p w14:paraId="0B4682E8" w14:textId="77777777" w:rsidR="005F6736" w:rsidRDefault="005F6736" w:rsidP="00A45FD9">
      <w:pPr>
        <w:pStyle w:val="ListParagraph"/>
        <w:spacing w:after="0" w:line="240" w:lineRule="auto"/>
        <w:ind w:left="360"/>
        <w:jc w:val="both"/>
        <w:rPr>
          <w:rFonts w:ascii="Times New Roman" w:hAnsi="Times New Roman" w:cs="Times New Roman"/>
          <w:sz w:val="24"/>
          <w:szCs w:val="24"/>
        </w:rPr>
      </w:pPr>
    </w:p>
    <w:p w14:paraId="1280EE84" w14:textId="18FE21D2" w:rsidR="004B2C5E" w:rsidRDefault="004B2C5E" w:rsidP="00A45FD9">
      <w:pPr>
        <w:pStyle w:val="ListParagraph"/>
        <w:spacing w:after="0" w:line="240" w:lineRule="auto"/>
        <w:ind w:left="360"/>
        <w:jc w:val="both"/>
        <w:rPr>
          <w:rFonts w:ascii="Times New Roman" w:hAnsi="Times New Roman" w:cs="Times New Roman"/>
          <w:sz w:val="24"/>
          <w:szCs w:val="24"/>
        </w:rPr>
      </w:pPr>
    </w:p>
    <w:p w14:paraId="6864313B" w14:textId="77777777" w:rsidR="00BF3C3C" w:rsidRPr="00DC2AB0" w:rsidRDefault="00BF3C3C" w:rsidP="00A45FD9">
      <w:pPr>
        <w:pStyle w:val="ListParagraph"/>
        <w:spacing w:after="0" w:line="240" w:lineRule="auto"/>
        <w:ind w:left="360"/>
        <w:jc w:val="both"/>
        <w:rPr>
          <w:rFonts w:ascii="Times New Roman" w:eastAsia="Times New Roman" w:hAnsi="Times New Roman" w:cs="Times New Roman"/>
          <w:sz w:val="24"/>
          <w:szCs w:val="24"/>
        </w:rPr>
      </w:pPr>
    </w:p>
    <w:tbl>
      <w:tblPr>
        <w:tblStyle w:val="TableGrid"/>
        <w:tblW w:w="9630" w:type="dxa"/>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shd w:val="clear" w:color="auto" w:fill="EEECE1" w:themeFill="background2"/>
        <w:tblLook w:val="04A0" w:firstRow="1" w:lastRow="0" w:firstColumn="1" w:lastColumn="0" w:noHBand="0" w:noVBand="1"/>
      </w:tblPr>
      <w:tblGrid>
        <w:gridCol w:w="2221"/>
        <w:gridCol w:w="7409"/>
      </w:tblGrid>
      <w:tr w:rsidR="004B2C5E" w:rsidRPr="00DC2AB0" w14:paraId="5E33FFBB" w14:textId="77777777" w:rsidTr="00CE1B8B">
        <w:trPr>
          <w:trHeight w:val="390"/>
          <w:jc w:val="center"/>
        </w:trPr>
        <w:tc>
          <w:tcPr>
            <w:tcW w:w="9630" w:type="dxa"/>
            <w:gridSpan w:val="2"/>
            <w:shd w:val="clear" w:color="auto" w:fill="7F7F7F" w:themeFill="text1" w:themeFillTint="80"/>
            <w:vAlign w:val="center"/>
          </w:tcPr>
          <w:p w14:paraId="774AE6DC" w14:textId="77777777" w:rsidR="004B2C5E" w:rsidRPr="00DC2AB0" w:rsidRDefault="004B2C5E" w:rsidP="00A45FD9">
            <w:pPr>
              <w:pStyle w:val="Default"/>
              <w:jc w:val="both"/>
              <w:rPr>
                <w:rStyle w:val="BookTitle"/>
                <w:color w:val="FFFFFF" w:themeColor="background1"/>
              </w:rPr>
            </w:pPr>
            <w:r w:rsidRPr="00DC2AB0">
              <w:rPr>
                <w:rStyle w:val="BookTitle"/>
                <w:color w:val="FFFFFF" w:themeColor="background1"/>
              </w:rPr>
              <w:lastRenderedPageBreak/>
              <w:t>Education Department General Administrative Regulations (EDGAR)</w:t>
            </w:r>
          </w:p>
          <w:p w14:paraId="0F878CDF" w14:textId="77777777" w:rsidR="004B2C5E" w:rsidRPr="00DC2AB0" w:rsidRDefault="004B2C5E" w:rsidP="00A45FD9">
            <w:pPr>
              <w:pStyle w:val="Default"/>
              <w:jc w:val="both"/>
              <w:rPr>
                <w:rStyle w:val="BookTitle"/>
                <w:b w:val="0"/>
                <w:color w:val="FFFFFF" w:themeColor="background1"/>
              </w:rPr>
            </w:pPr>
            <w:r w:rsidRPr="00DC2AB0">
              <w:rPr>
                <w:rStyle w:val="BookTitle"/>
                <w:color w:val="FFFFFF" w:themeColor="background1"/>
              </w:rPr>
              <w:t>Allowable Expenditure Category Guidelines</w:t>
            </w:r>
          </w:p>
        </w:tc>
      </w:tr>
      <w:tr w:rsidR="004B2C5E" w:rsidRPr="00DC2AB0" w14:paraId="08A6FD95" w14:textId="77777777" w:rsidTr="00CE1B8B">
        <w:trPr>
          <w:trHeight w:val="1008"/>
          <w:jc w:val="center"/>
        </w:trPr>
        <w:tc>
          <w:tcPr>
            <w:tcW w:w="2221" w:type="dxa"/>
            <w:shd w:val="clear" w:color="auto" w:fill="8DB3E2" w:themeFill="text2" w:themeFillTint="66"/>
            <w:vAlign w:val="center"/>
          </w:tcPr>
          <w:p w14:paraId="0BE69608" w14:textId="77777777" w:rsidR="004B2C5E" w:rsidRPr="00DC2AB0" w:rsidRDefault="004B2C5E" w:rsidP="00A45FD9">
            <w:pPr>
              <w:jc w:val="both"/>
              <w:rPr>
                <w:rFonts w:ascii="Times New Roman" w:hAnsi="Times New Roman" w:cs="Times New Roman"/>
                <w:b/>
                <w:sz w:val="24"/>
                <w:szCs w:val="24"/>
              </w:rPr>
            </w:pPr>
            <w:r w:rsidRPr="00DC2AB0">
              <w:rPr>
                <w:rFonts w:ascii="Times New Roman" w:hAnsi="Times New Roman" w:cs="Times New Roman"/>
                <w:b/>
                <w:sz w:val="24"/>
                <w:szCs w:val="24"/>
              </w:rPr>
              <w:t>Compensation—Personnel</w:t>
            </w:r>
          </w:p>
          <w:p w14:paraId="2816765E" w14:textId="77777777" w:rsidR="004B2C5E" w:rsidRPr="00DC2AB0" w:rsidRDefault="004B2C5E" w:rsidP="00A45FD9">
            <w:pPr>
              <w:jc w:val="both"/>
              <w:rPr>
                <w:rFonts w:ascii="Times New Roman" w:hAnsi="Times New Roman" w:cs="Times New Roman"/>
                <w:b/>
                <w:sz w:val="24"/>
                <w:szCs w:val="24"/>
              </w:rPr>
            </w:pPr>
            <w:r w:rsidRPr="00DC2AB0">
              <w:rPr>
                <w:rFonts w:ascii="Times New Roman" w:hAnsi="Times New Roman" w:cs="Times New Roman"/>
                <w:b/>
                <w:sz w:val="24"/>
                <w:szCs w:val="24"/>
              </w:rPr>
              <w:t>2 CFR 200.430</w:t>
            </w:r>
          </w:p>
        </w:tc>
        <w:tc>
          <w:tcPr>
            <w:tcW w:w="7409" w:type="dxa"/>
            <w:shd w:val="clear" w:color="auto" w:fill="F2F2F2" w:themeFill="background1" w:themeFillShade="F2"/>
            <w:vAlign w:val="center"/>
          </w:tcPr>
          <w:p w14:paraId="00C7B63D" w14:textId="77777777" w:rsidR="004B2C5E" w:rsidRPr="00DC2AB0" w:rsidRDefault="004B2C5E" w:rsidP="00A45FD9">
            <w:pPr>
              <w:jc w:val="both"/>
              <w:rPr>
                <w:rFonts w:ascii="Times New Roman" w:hAnsi="Times New Roman" w:cs="Times New Roman"/>
                <w:sz w:val="24"/>
                <w:szCs w:val="24"/>
              </w:rPr>
            </w:pPr>
            <w:r w:rsidRPr="00DC2AB0">
              <w:rPr>
                <w:rFonts w:ascii="Times New Roman" w:hAnsi="Times New Roman" w:cs="Times New Roman"/>
                <w:sz w:val="24"/>
                <w:szCs w:val="24"/>
              </w:rPr>
              <w:t xml:space="preserve">Compensation for personnel services includes all remuneration, paid currently or accrued, for services of employees rendered during the period of performance under the Federal award, including but not necessarily limited to wages and salaries. </w:t>
            </w:r>
          </w:p>
        </w:tc>
      </w:tr>
      <w:tr w:rsidR="004B2C5E" w:rsidRPr="00DC2AB0" w14:paraId="0929191B" w14:textId="77777777" w:rsidTr="00CE1B8B">
        <w:trPr>
          <w:trHeight w:val="2028"/>
          <w:jc w:val="center"/>
        </w:trPr>
        <w:tc>
          <w:tcPr>
            <w:tcW w:w="2221" w:type="dxa"/>
            <w:shd w:val="clear" w:color="auto" w:fill="8DB3E2" w:themeFill="text2" w:themeFillTint="66"/>
            <w:vAlign w:val="center"/>
          </w:tcPr>
          <w:p w14:paraId="095AF22F" w14:textId="77777777" w:rsidR="004B2C5E" w:rsidRPr="00DC2AB0" w:rsidRDefault="004B2C5E" w:rsidP="00A45FD9">
            <w:pPr>
              <w:jc w:val="both"/>
              <w:rPr>
                <w:rFonts w:ascii="Times New Roman" w:hAnsi="Times New Roman" w:cs="Times New Roman"/>
                <w:b/>
                <w:sz w:val="24"/>
                <w:szCs w:val="24"/>
              </w:rPr>
            </w:pPr>
            <w:r w:rsidRPr="00DC2AB0">
              <w:rPr>
                <w:rFonts w:ascii="Times New Roman" w:hAnsi="Times New Roman" w:cs="Times New Roman"/>
                <w:b/>
                <w:sz w:val="24"/>
                <w:szCs w:val="24"/>
              </w:rPr>
              <w:t>Compensation— Fringe Benefits</w:t>
            </w:r>
          </w:p>
          <w:p w14:paraId="0109A4C5" w14:textId="77777777" w:rsidR="004B2C5E" w:rsidRPr="00DC2AB0" w:rsidRDefault="004B2C5E" w:rsidP="00A45FD9">
            <w:pPr>
              <w:jc w:val="both"/>
              <w:rPr>
                <w:rFonts w:ascii="Times New Roman" w:hAnsi="Times New Roman" w:cs="Times New Roman"/>
                <w:b/>
                <w:sz w:val="24"/>
                <w:szCs w:val="24"/>
              </w:rPr>
            </w:pPr>
            <w:r w:rsidRPr="00DC2AB0">
              <w:rPr>
                <w:rFonts w:ascii="Times New Roman" w:hAnsi="Times New Roman" w:cs="Times New Roman"/>
                <w:b/>
                <w:sz w:val="24"/>
                <w:szCs w:val="24"/>
              </w:rPr>
              <w:t>2 CFR 200.431</w:t>
            </w:r>
          </w:p>
        </w:tc>
        <w:tc>
          <w:tcPr>
            <w:tcW w:w="7409" w:type="dxa"/>
            <w:shd w:val="clear" w:color="auto" w:fill="F2F2F2" w:themeFill="background1" w:themeFillShade="F2"/>
            <w:vAlign w:val="center"/>
          </w:tcPr>
          <w:p w14:paraId="6A02D16C" w14:textId="77777777" w:rsidR="004B2C5E" w:rsidRPr="00DC2AB0" w:rsidRDefault="004B2C5E" w:rsidP="00A45FD9">
            <w:pPr>
              <w:jc w:val="both"/>
              <w:rPr>
                <w:rFonts w:ascii="Times New Roman" w:hAnsi="Times New Roman" w:cs="Times New Roman"/>
                <w:sz w:val="24"/>
                <w:szCs w:val="24"/>
              </w:rPr>
            </w:pPr>
            <w:r w:rsidRPr="00DC2AB0">
              <w:rPr>
                <w:rFonts w:ascii="Times New Roman" w:hAnsi="Times New Roman" w:cs="Times New Roman"/>
                <w:sz w:val="24"/>
                <w:szCs w:val="24"/>
              </w:rPr>
              <w:t>Fringe benefits are allowances and services provided by employers to their employees as compensation in addition to regular salaries and wages. Fringe benefits include, but are not limited to, the costs of leave (vacation, family-related, sick or military), employee insurance, pensions, and unemployment benefit plans. Except as provided elsewhere in these principles, the costs of fringe benefits are allowable provided that the benefits are reasonable and are required by law, non-Federal entity-employee agreement, or an established policy of the non-Federal entity.</w:t>
            </w:r>
          </w:p>
        </w:tc>
      </w:tr>
      <w:tr w:rsidR="004B2C5E" w:rsidRPr="00DC2AB0" w14:paraId="7EA23D56" w14:textId="77777777" w:rsidTr="00CE1B8B">
        <w:trPr>
          <w:trHeight w:val="1650"/>
          <w:jc w:val="center"/>
        </w:trPr>
        <w:tc>
          <w:tcPr>
            <w:tcW w:w="2221" w:type="dxa"/>
            <w:shd w:val="clear" w:color="auto" w:fill="8DB3E2" w:themeFill="text2" w:themeFillTint="66"/>
            <w:vAlign w:val="center"/>
          </w:tcPr>
          <w:p w14:paraId="08B4E79F" w14:textId="77777777" w:rsidR="004B2C5E" w:rsidRPr="00DC2AB0" w:rsidRDefault="004B2C5E" w:rsidP="00A45FD9">
            <w:pPr>
              <w:jc w:val="both"/>
              <w:rPr>
                <w:rFonts w:ascii="Times New Roman" w:hAnsi="Times New Roman" w:cs="Times New Roman"/>
                <w:b/>
                <w:sz w:val="24"/>
                <w:szCs w:val="24"/>
              </w:rPr>
            </w:pPr>
            <w:r w:rsidRPr="00DC2AB0">
              <w:rPr>
                <w:rFonts w:ascii="Times New Roman" w:hAnsi="Times New Roman" w:cs="Times New Roman"/>
                <w:b/>
                <w:sz w:val="24"/>
                <w:szCs w:val="24"/>
              </w:rPr>
              <w:t>Travel Costs</w:t>
            </w:r>
          </w:p>
          <w:p w14:paraId="1F2664D4" w14:textId="77777777" w:rsidR="004B2C5E" w:rsidRPr="00DC2AB0" w:rsidRDefault="004B2C5E" w:rsidP="00A45FD9">
            <w:pPr>
              <w:jc w:val="both"/>
              <w:rPr>
                <w:rFonts w:ascii="Times New Roman" w:hAnsi="Times New Roman" w:cs="Times New Roman"/>
                <w:b/>
                <w:sz w:val="24"/>
                <w:szCs w:val="24"/>
              </w:rPr>
            </w:pPr>
            <w:r w:rsidRPr="00DC2AB0">
              <w:rPr>
                <w:rFonts w:ascii="Times New Roman" w:hAnsi="Times New Roman" w:cs="Times New Roman"/>
                <w:b/>
                <w:sz w:val="24"/>
                <w:szCs w:val="24"/>
              </w:rPr>
              <w:t>2 CFR 200.474</w:t>
            </w:r>
          </w:p>
        </w:tc>
        <w:tc>
          <w:tcPr>
            <w:tcW w:w="7409" w:type="dxa"/>
            <w:shd w:val="clear" w:color="auto" w:fill="F2F2F2" w:themeFill="background1" w:themeFillShade="F2"/>
            <w:vAlign w:val="center"/>
          </w:tcPr>
          <w:p w14:paraId="1EF6D6FC" w14:textId="77777777" w:rsidR="004B2C5E" w:rsidRPr="00DC2AB0" w:rsidRDefault="004B2C5E" w:rsidP="00A45FD9">
            <w:pPr>
              <w:jc w:val="both"/>
              <w:rPr>
                <w:rFonts w:ascii="Times New Roman" w:hAnsi="Times New Roman" w:cs="Times New Roman"/>
                <w:sz w:val="24"/>
                <w:szCs w:val="24"/>
              </w:rPr>
            </w:pPr>
            <w:r w:rsidRPr="00DC2AB0">
              <w:rPr>
                <w:rFonts w:ascii="Times New Roman" w:eastAsia="Times New Roman" w:hAnsi="Times New Roman" w:cs="Times New Roman"/>
                <w:sz w:val="24"/>
                <w:szCs w:val="24"/>
              </w:rPr>
              <w:t>Travel costs are the expenses for transportation, lodging, subsistence, and related items incurred by employees who are in travel status on official business of the non-Federal entity. Such costs may be charged on an actual cost basis, on a per diem or mileage basis in lieu of actual costs incurred, or on a combination of the two, provided the method used is applied to an entire trip and not to selected days of the trip.</w:t>
            </w:r>
          </w:p>
        </w:tc>
      </w:tr>
      <w:tr w:rsidR="004B2C5E" w:rsidRPr="00DC2AB0" w14:paraId="47DACE73" w14:textId="77777777" w:rsidTr="00CE1B8B">
        <w:trPr>
          <w:trHeight w:val="872"/>
          <w:jc w:val="center"/>
        </w:trPr>
        <w:tc>
          <w:tcPr>
            <w:tcW w:w="2221" w:type="dxa"/>
            <w:shd w:val="clear" w:color="auto" w:fill="8DB3E2" w:themeFill="text2" w:themeFillTint="66"/>
            <w:vAlign w:val="center"/>
          </w:tcPr>
          <w:p w14:paraId="31180A7F" w14:textId="77777777" w:rsidR="004B2C5E" w:rsidRPr="00DC2AB0" w:rsidRDefault="004B2C5E" w:rsidP="00A45FD9">
            <w:pPr>
              <w:jc w:val="both"/>
              <w:rPr>
                <w:rFonts w:ascii="Times New Roman" w:hAnsi="Times New Roman" w:cs="Times New Roman"/>
                <w:b/>
                <w:sz w:val="24"/>
                <w:szCs w:val="24"/>
              </w:rPr>
            </w:pPr>
            <w:r w:rsidRPr="00DC2AB0">
              <w:rPr>
                <w:rFonts w:ascii="Times New Roman" w:hAnsi="Times New Roman" w:cs="Times New Roman"/>
                <w:b/>
                <w:sz w:val="24"/>
                <w:szCs w:val="24"/>
              </w:rPr>
              <w:t>Equipment</w:t>
            </w:r>
          </w:p>
          <w:p w14:paraId="02578687" w14:textId="77777777" w:rsidR="004B2C5E" w:rsidRPr="00DC2AB0" w:rsidRDefault="004B2C5E" w:rsidP="00A45FD9">
            <w:pPr>
              <w:jc w:val="both"/>
              <w:rPr>
                <w:rFonts w:ascii="Times New Roman" w:hAnsi="Times New Roman" w:cs="Times New Roman"/>
                <w:b/>
                <w:sz w:val="24"/>
                <w:szCs w:val="24"/>
              </w:rPr>
            </w:pPr>
            <w:r w:rsidRPr="00DC2AB0">
              <w:rPr>
                <w:rFonts w:ascii="Times New Roman" w:hAnsi="Times New Roman" w:cs="Times New Roman"/>
                <w:b/>
                <w:sz w:val="24"/>
                <w:szCs w:val="24"/>
              </w:rPr>
              <w:t>2 CFR 200.33</w:t>
            </w:r>
          </w:p>
        </w:tc>
        <w:tc>
          <w:tcPr>
            <w:tcW w:w="7409" w:type="dxa"/>
            <w:shd w:val="clear" w:color="auto" w:fill="F2F2F2" w:themeFill="background1" w:themeFillShade="F2"/>
            <w:vAlign w:val="center"/>
          </w:tcPr>
          <w:p w14:paraId="72D09B18" w14:textId="77777777" w:rsidR="004B2C5E" w:rsidRPr="00DC2AB0" w:rsidRDefault="004B2C5E" w:rsidP="00A45FD9">
            <w:pPr>
              <w:jc w:val="both"/>
              <w:rPr>
                <w:rFonts w:ascii="Times New Roman" w:hAnsi="Times New Roman" w:cs="Times New Roman"/>
                <w:sz w:val="24"/>
                <w:szCs w:val="24"/>
              </w:rPr>
            </w:pPr>
            <w:r w:rsidRPr="00DC2AB0">
              <w:rPr>
                <w:rFonts w:ascii="Times New Roman" w:hAnsi="Times New Roman" w:cs="Times New Roman"/>
                <w:sz w:val="24"/>
                <w:szCs w:val="24"/>
              </w:rPr>
              <w:t>Equipment is defined as an article of tangible personal property that has a useful life of more than one year and a per-unit acquisition cost which equals or exceeds the lesser of the capitalization level established by the non-Federal entity for financial statement purposes, or $5,000. An applicant organization may classify equipment at a lower dollar value but cannot classify it higher than $5,000.  Please also see 2 CFR §200.439 Capital Expenditures.</w:t>
            </w:r>
          </w:p>
        </w:tc>
      </w:tr>
      <w:tr w:rsidR="004B2C5E" w:rsidRPr="00DC2AB0" w14:paraId="17C1BF2A" w14:textId="77777777" w:rsidTr="00CE1B8B">
        <w:trPr>
          <w:trHeight w:val="890"/>
          <w:jc w:val="center"/>
        </w:trPr>
        <w:tc>
          <w:tcPr>
            <w:tcW w:w="2221" w:type="dxa"/>
            <w:shd w:val="clear" w:color="auto" w:fill="8DB3E2" w:themeFill="text2" w:themeFillTint="66"/>
            <w:vAlign w:val="center"/>
          </w:tcPr>
          <w:p w14:paraId="302EDD62" w14:textId="77777777" w:rsidR="004B2C5E" w:rsidRPr="00DC2AB0" w:rsidRDefault="004B2C5E" w:rsidP="00A45FD9">
            <w:pPr>
              <w:jc w:val="both"/>
              <w:rPr>
                <w:rFonts w:ascii="Times New Roman" w:hAnsi="Times New Roman" w:cs="Times New Roman"/>
                <w:b/>
                <w:sz w:val="24"/>
                <w:szCs w:val="24"/>
              </w:rPr>
            </w:pPr>
            <w:r w:rsidRPr="00DC2AB0">
              <w:rPr>
                <w:rFonts w:ascii="Times New Roman" w:hAnsi="Times New Roman" w:cs="Times New Roman"/>
                <w:b/>
                <w:sz w:val="24"/>
                <w:szCs w:val="24"/>
              </w:rPr>
              <w:t>Supplies</w:t>
            </w:r>
          </w:p>
          <w:p w14:paraId="10EFB6A5" w14:textId="77777777" w:rsidR="004B2C5E" w:rsidRPr="00DC2AB0" w:rsidRDefault="004B2C5E" w:rsidP="00A45FD9">
            <w:pPr>
              <w:jc w:val="both"/>
              <w:rPr>
                <w:rFonts w:ascii="Times New Roman" w:hAnsi="Times New Roman" w:cs="Times New Roman"/>
                <w:b/>
                <w:sz w:val="24"/>
                <w:szCs w:val="24"/>
              </w:rPr>
            </w:pPr>
            <w:r w:rsidRPr="00DC2AB0">
              <w:rPr>
                <w:rFonts w:ascii="Times New Roman" w:hAnsi="Times New Roman" w:cs="Times New Roman"/>
                <w:b/>
                <w:sz w:val="24"/>
                <w:szCs w:val="24"/>
              </w:rPr>
              <w:t>2 CFR 200.94</w:t>
            </w:r>
          </w:p>
        </w:tc>
        <w:tc>
          <w:tcPr>
            <w:tcW w:w="7409" w:type="dxa"/>
            <w:shd w:val="clear" w:color="auto" w:fill="F2F2F2" w:themeFill="background1" w:themeFillShade="F2"/>
            <w:vAlign w:val="center"/>
          </w:tcPr>
          <w:p w14:paraId="573E9AB4" w14:textId="77777777" w:rsidR="004B2C5E" w:rsidRPr="00DC2AB0" w:rsidRDefault="004B2C5E" w:rsidP="00A45FD9">
            <w:pPr>
              <w:jc w:val="both"/>
              <w:rPr>
                <w:rFonts w:ascii="Times New Roman" w:hAnsi="Times New Roman" w:cs="Times New Roman"/>
                <w:sz w:val="24"/>
                <w:szCs w:val="24"/>
              </w:rPr>
            </w:pPr>
            <w:r w:rsidRPr="00DC2AB0">
              <w:rPr>
                <w:rFonts w:ascii="Times New Roman" w:hAnsi="Times New Roman" w:cs="Times New Roman"/>
                <w:sz w:val="24"/>
                <w:szCs w:val="24"/>
              </w:rPr>
              <w:t>All tangible personal property [other than those described in §200.33 Equipment]. Generally, supplies include any materials that are expendable or consumed during the course of the grant.</w:t>
            </w:r>
          </w:p>
        </w:tc>
      </w:tr>
      <w:tr w:rsidR="004B2C5E" w:rsidRPr="00DC2AB0" w14:paraId="2FDCEC0E" w14:textId="77777777" w:rsidTr="00CE1B8B">
        <w:trPr>
          <w:trHeight w:val="687"/>
          <w:jc w:val="center"/>
        </w:trPr>
        <w:tc>
          <w:tcPr>
            <w:tcW w:w="2221" w:type="dxa"/>
            <w:shd w:val="clear" w:color="auto" w:fill="8DB3E2" w:themeFill="text2" w:themeFillTint="66"/>
            <w:vAlign w:val="center"/>
          </w:tcPr>
          <w:p w14:paraId="7ECF6494" w14:textId="77777777" w:rsidR="004B2C5E" w:rsidRPr="00DC2AB0" w:rsidRDefault="004B2C5E" w:rsidP="00A45FD9">
            <w:pPr>
              <w:jc w:val="both"/>
              <w:rPr>
                <w:rFonts w:ascii="Times New Roman" w:hAnsi="Times New Roman" w:cs="Times New Roman"/>
                <w:b/>
                <w:sz w:val="24"/>
                <w:szCs w:val="24"/>
              </w:rPr>
            </w:pPr>
            <w:r w:rsidRPr="00DC2AB0">
              <w:rPr>
                <w:rFonts w:ascii="Times New Roman" w:hAnsi="Times New Roman" w:cs="Times New Roman"/>
                <w:b/>
                <w:sz w:val="24"/>
                <w:szCs w:val="24"/>
              </w:rPr>
              <w:t>Contractual Services</w:t>
            </w:r>
          </w:p>
          <w:p w14:paraId="7552760D" w14:textId="77777777" w:rsidR="004B2C5E" w:rsidRPr="00DC2AB0" w:rsidRDefault="004B2C5E" w:rsidP="00A45FD9">
            <w:pPr>
              <w:jc w:val="both"/>
              <w:rPr>
                <w:rFonts w:ascii="Times New Roman" w:hAnsi="Times New Roman" w:cs="Times New Roman"/>
                <w:b/>
                <w:sz w:val="24"/>
                <w:szCs w:val="24"/>
              </w:rPr>
            </w:pPr>
            <w:r w:rsidRPr="00DC2AB0">
              <w:rPr>
                <w:rFonts w:ascii="Times New Roman" w:hAnsi="Times New Roman" w:cs="Times New Roman"/>
                <w:b/>
                <w:sz w:val="24"/>
                <w:szCs w:val="24"/>
              </w:rPr>
              <w:t>2 CFR 200.318</w:t>
            </w:r>
          </w:p>
        </w:tc>
        <w:tc>
          <w:tcPr>
            <w:tcW w:w="7409" w:type="dxa"/>
            <w:shd w:val="clear" w:color="auto" w:fill="F2F2F2" w:themeFill="background1" w:themeFillShade="F2"/>
            <w:vAlign w:val="center"/>
          </w:tcPr>
          <w:p w14:paraId="7787CD53" w14:textId="77777777" w:rsidR="004B2C5E" w:rsidRPr="00DC2AB0" w:rsidRDefault="004B2C5E" w:rsidP="00A45FD9">
            <w:pPr>
              <w:jc w:val="both"/>
              <w:rPr>
                <w:rFonts w:ascii="Times New Roman" w:hAnsi="Times New Roman" w:cs="Times New Roman"/>
                <w:sz w:val="24"/>
                <w:szCs w:val="24"/>
              </w:rPr>
            </w:pPr>
            <w:r w:rsidRPr="00DC2AB0">
              <w:rPr>
                <w:rFonts w:ascii="Times New Roman" w:hAnsi="Times New Roman" w:cs="Times New Roman"/>
                <w:sz w:val="24"/>
                <w:szCs w:val="24"/>
              </w:rPr>
              <w:t>All products or services which are procured by contract. “Contract” means a legal instrument by which a non-Federal entity purchases property or services needed to carry out the project or program under a Federal award.</w:t>
            </w:r>
          </w:p>
        </w:tc>
      </w:tr>
      <w:tr w:rsidR="004B2C5E" w:rsidRPr="00DC2AB0" w14:paraId="685D087A" w14:textId="77777777" w:rsidTr="00CE1B8B">
        <w:trPr>
          <w:trHeight w:val="687"/>
          <w:jc w:val="center"/>
        </w:trPr>
        <w:tc>
          <w:tcPr>
            <w:tcW w:w="2221" w:type="dxa"/>
            <w:shd w:val="clear" w:color="auto" w:fill="8DB3E2" w:themeFill="text2" w:themeFillTint="66"/>
            <w:vAlign w:val="center"/>
          </w:tcPr>
          <w:p w14:paraId="49589526" w14:textId="77777777" w:rsidR="004B2C5E" w:rsidRPr="00DC2AB0" w:rsidRDefault="004B2C5E" w:rsidP="00A45FD9">
            <w:pPr>
              <w:jc w:val="both"/>
              <w:rPr>
                <w:rFonts w:ascii="Times New Roman" w:hAnsi="Times New Roman" w:cs="Times New Roman"/>
                <w:b/>
                <w:sz w:val="24"/>
                <w:szCs w:val="24"/>
              </w:rPr>
            </w:pPr>
            <w:r w:rsidRPr="00DC2AB0">
              <w:rPr>
                <w:rFonts w:ascii="Times New Roman" w:hAnsi="Times New Roman" w:cs="Times New Roman"/>
                <w:b/>
                <w:sz w:val="24"/>
                <w:szCs w:val="24"/>
              </w:rPr>
              <w:t>Training and Education</w:t>
            </w:r>
          </w:p>
          <w:p w14:paraId="665EB841" w14:textId="77777777" w:rsidR="004B2C5E" w:rsidRPr="00DC2AB0" w:rsidRDefault="004B2C5E" w:rsidP="00A45FD9">
            <w:pPr>
              <w:jc w:val="both"/>
              <w:rPr>
                <w:rFonts w:ascii="Times New Roman" w:hAnsi="Times New Roman" w:cs="Times New Roman"/>
                <w:b/>
                <w:sz w:val="24"/>
                <w:szCs w:val="24"/>
              </w:rPr>
            </w:pPr>
            <w:r w:rsidRPr="00DC2AB0">
              <w:rPr>
                <w:rFonts w:ascii="Times New Roman" w:hAnsi="Times New Roman" w:cs="Times New Roman"/>
                <w:b/>
                <w:sz w:val="24"/>
                <w:szCs w:val="24"/>
              </w:rPr>
              <w:t>2 CFR 200.472</w:t>
            </w:r>
          </w:p>
        </w:tc>
        <w:tc>
          <w:tcPr>
            <w:tcW w:w="7409" w:type="dxa"/>
            <w:shd w:val="clear" w:color="auto" w:fill="F2F2F2" w:themeFill="background1" w:themeFillShade="F2"/>
            <w:vAlign w:val="center"/>
          </w:tcPr>
          <w:p w14:paraId="5ACF9391" w14:textId="77777777" w:rsidR="004B2C5E" w:rsidRPr="00DC2AB0" w:rsidRDefault="004B2C5E" w:rsidP="00A45FD9">
            <w:pPr>
              <w:jc w:val="both"/>
              <w:rPr>
                <w:rFonts w:ascii="Times New Roman" w:hAnsi="Times New Roman" w:cs="Times New Roman"/>
                <w:sz w:val="24"/>
                <w:szCs w:val="24"/>
              </w:rPr>
            </w:pPr>
            <w:r w:rsidRPr="00DC2AB0">
              <w:rPr>
                <w:rFonts w:ascii="Times New Roman" w:hAnsi="Times New Roman" w:cs="Times New Roman"/>
                <w:sz w:val="24"/>
                <w:szCs w:val="24"/>
              </w:rPr>
              <w:t>The cost of training and education provided for employee development.</w:t>
            </w:r>
          </w:p>
        </w:tc>
      </w:tr>
      <w:tr w:rsidR="004B2C5E" w:rsidRPr="00DC2AB0" w14:paraId="3AC666EE" w14:textId="77777777" w:rsidTr="00CE1B8B">
        <w:trPr>
          <w:trHeight w:val="687"/>
          <w:jc w:val="center"/>
        </w:trPr>
        <w:tc>
          <w:tcPr>
            <w:tcW w:w="2221" w:type="dxa"/>
            <w:shd w:val="clear" w:color="auto" w:fill="8DB3E2" w:themeFill="text2" w:themeFillTint="66"/>
            <w:vAlign w:val="center"/>
          </w:tcPr>
          <w:p w14:paraId="541B1240" w14:textId="77777777" w:rsidR="004B2C5E" w:rsidRPr="00DC2AB0" w:rsidRDefault="004B2C5E" w:rsidP="00A45FD9">
            <w:pPr>
              <w:jc w:val="both"/>
              <w:rPr>
                <w:rFonts w:ascii="Times New Roman" w:hAnsi="Times New Roman" w:cs="Times New Roman"/>
                <w:b/>
                <w:sz w:val="24"/>
                <w:szCs w:val="24"/>
              </w:rPr>
            </w:pPr>
            <w:r w:rsidRPr="00DC2AB0">
              <w:rPr>
                <w:rFonts w:ascii="Times New Roman" w:hAnsi="Times New Roman" w:cs="Times New Roman"/>
                <w:b/>
                <w:sz w:val="24"/>
                <w:szCs w:val="24"/>
              </w:rPr>
              <w:t>Indirect Cost/General Administration</w:t>
            </w:r>
          </w:p>
        </w:tc>
        <w:tc>
          <w:tcPr>
            <w:tcW w:w="7409" w:type="dxa"/>
            <w:shd w:val="clear" w:color="auto" w:fill="F2F2F2" w:themeFill="background1" w:themeFillShade="F2"/>
            <w:vAlign w:val="center"/>
          </w:tcPr>
          <w:p w14:paraId="2D980A9A" w14:textId="77777777" w:rsidR="00AD2A2D" w:rsidRPr="00DC2AB0" w:rsidRDefault="00AD2A2D" w:rsidP="00A45FD9">
            <w:pPr>
              <w:jc w:val="both"/>
              <w:rPr>
                <w:rFonts w:ascii="Times New Roman" w:hAnsi="Times New Roman" w:cs="Times New Roman"/>
                <w:sz w:val="24"/>
                <w:szCs w:val="24"/>
              </w:rPr>
            </w:pPr>
            <w:r w:rsidRPr="00DC2AB0">
              <w:rPr>
                <w:rFonts w:ascii="Times New Roman" w:hAnsi="Times New Roman" w:cs="Times New Roman"/>
                <w:sz w:val="24"/>
                <w:szCs w:val="24"/>
              </w:rPr>
              <w:t>An indirect cost rate of up to 5% of the total grant is allowable. This is in adherence to EDGAR 2 CFR 200 and Section 135c of Carl D. Perkins Act.</w:t>
            </w:r>
          </w:p>
          <w:p w14:paraId="3CDB7842" w14:textId="77777777" w:rsidR="00AD2A2D" w:rsidRPr="00DC2AB0" w:rsidRDefault="00AD2A2D" w:rsidP="00A45FD9">
            <w:pPr>
              <w:jc w:val="both"/>
              <w:rPr>
                <w:rFonts w:ascii="Times New Roman" w:hAnsi="Times New Roman" w:cs="Times New Roman"/>
                <w:sz w:val="24"/>
                <w:szCs w:val="24"/>
              </w:rPr>
            </w:pPr>
          </w:p>
          <w:p w14:paraId="4AA14C4D" w14:textId="77777777" w:rsidR="004B2C5E" w:rsidRPr="00DC2AB0" w:rsidRDefault="004B2C5E" w:rsidP="00A45FD9">
            <w:pPr>
              <w:jc w:val="both"/>
              <w:rPr>
                <w:rFonts w:ascii="Times New Roman" w:hAnsi="Times New Roman" w:cs="Times New Roman"/>
                <w:sz w:val="24"/>
                <w:szCs w:val="24"/>
              </w:rPr>
            </w:pPr>
            <w:r w:rsidRPr="00DC2AB0">
              <w:rPr>
                <w:rFonts w:ascii="Times New Roman" w:hAnsi="Times New Roman" w:cs="Times New Roman"/>
                <w:sz w:val="24"/>
                <w:szCs w:val="24"/>
              </w:rPr>
              <w:t xml:space="preserve">Indirect costs: those costs incurred for a common or joint purpose benefitting more than one cost objective, and not readily assignable to the cost objectives specifically benefitted without effort disproportionate to the results achieved. Indirect costs must be classified within two broad categories: “Facilities” and “Administration.” “Facilities” is defined as </w:t>
            </w:r>
            <w:r w:rsidRPr="00DC2AB0">
              <w:rPr>
                <w:rFonts w:ascii="Times New Roman" w:hAnsi="Times New Roman" w:cs="Times New Roman"/>
                <w:sz w:val="24"/>
                <w:szCs w:val="24"/>
              </w:rPr>
              <w:lastRenderedPageBreak/>
              <w:t>depreciation on buildings, equipment and capital improvement, interest on debt associated with certain buildings, equipment and capital improvements, and operations and maintenance expenses. “Administration” is defined as general administration and general expenses such as the director's office, accounting, personnel and all other types of expenditures.</w:t>
            </w:r>
          </w:p>
          <w:p w14:paraId="28F8F506" w14:textId="77777777" w:rsidR="004B2C5E" w:rsidRPr="00DC2AB0" w:rsidRDefault="004B2C5E" w:rsidP="00A45FD9">
            <w:pPr>
              <w:jc w:val="both"/>
              <w:rPr>
                <w:rFonts w:ascii="Times New Roman" w:hAnsi="Times New Roman" w:cs="Times New Roman"/>
                <w:sz w:val="24"/>
                <w:szCs w:val="24"/>
              </w:rPr>
            </w:pPr>
          </w:p>
          <w:p w14:paraId="71DCB2DB" w14:textId="77777777" w:rsidR="004B2C5E" w:rsidRPr="00DC2AB0" w:rsidRDefault="004B2C5E" w:rsidP="00A45FD9">
            <w:pPr>
              <w:jc w:val="both"/>
              <w:rPr>
                <w:rFonts w:ascii="Times New Roman" w:hAnsi="Times New Roman" w:cs="Times New Roman"/>
                <w:sz w:val="24"/>
                <w:szCs w:val="24"/>
              </w:rPr>
            </w:pPr>
            <w:r w:rsidRPr="00DC2AB0">
              <w:rPr>
                <w:rFonts w:ascii="Times New Roman" w:hAnsi="Times New Roman" w:cs="Times New Roman"/>
                <w:sz w:val="24"/>
                <w:szCs w:val="24"/>
              </w:rPr>
              <w:t>General Administration (Perkins Section 136(d)): organized administrative activities that provide assistance and support to CTE students, including activities specifically designed to provide administrative or managerial support for CTE programs and any special services provided for CTE students.</w:t>
            </w:r>
          </w:p>
        </w:tc>
      </w:tr>
      <w:tr w:rsidR="004B2C5E" w:rsidRPr="00DC2AB0" w14:paraId="0BDE4FEF" w14:textId="77777777" w:rsidTr="00CE1B8B">
        <w:trPr>
          <w:trHeight w:val="678"/>
          <w:jc w:val="center"/>
        </w:trPr>
        <w:tc>
          <w:tcPr>
            <w:tcW w:w="2221" w:type="dxa"/>
            <w:shd w:val="clear" w:color="auto" w:fill="8DB3E2" w:themeFill="text2" w:themeFillTint="66"/>
            <w:vAlign w:val="center"/>
          </w:tcPr>
          <w:p w14:paraId="68679D89" w14:textId="77777777" w:rsidR="004B2C5E" w:rsidRPr="00DC2AB0" w:rsidRDefault="004B2C5E" w:rsidP="00A45FD9">
            <w:pPr>
              <w:jc w:val="both"/>
              <w:rPr>
                <w:rFonts w:ascii="Times New Roman" w:hAnsi="Times New Roman" w:cs="Times New Roman"/>
                <w:b/>
                <w:sz w:val="24"/>
                <w:szCs w:val="24"/>
              </w:rPr>
            </w:pPr>
            <w:r w:rsidRPr="00DC2AB0">
              <w:rPr>
                <w:rFonts w:ascii="Times New Roman" w:hAnsi="Times New Roman" w:cs="Times New Roman"/>
                <w:b/>
                <w:sz w:val="24"/>
                <w:szCs w:val="24"/>
              </w:rPr>
              <w:lastRenderedPageBreak/>
              <w:t>Other Expenditures</w:t>
            </w:r>
          </w:p>
        </w:tc>
        <w:tc>
          <w:tcPr>
            <w:tcW w:w="7409" w:type="dxa"/>
            <w:shd w:val="clear" w:color="auto" w:fill="F2F2F2" w:themeFill="background1" w:themeFillShade="F2"/>
            <w:vAlign w:val="center"/>
          </w:tcPr>
          <w:p w14:paraId="6A13923E" w14:textId="77777777" w:rsidR="004B2C5E" w:rsidRPr="00DC2AB0" w:rsidRDefault="004B2C5E" w:rsidP="00A45FD9">
            <w:pPr>
              <w:jc w:val="both"/>
              <w:rPr>
                <w:rFonts w:ascii="Times New Roman" w:hAnsi="Times New Roman" w:cs="Times New Roman"/>
                <w:sz w:val="24"/>
                <w:szCs w:val="24"/>
              </w:rPr>
            </w:pPr>
            <w:r w:rsidRPr="00DC2AB0">
              <w:rPr>
                <w:rFonts w:ascii="Times New Roman" w:hAnsi="Times New Roman" w:cs="Times New Roman"/>
                <w:sz w:val="24"/>
                <w:szCs w:val="24"/>
              </w:rPr>
              <w:t>Must first be approved in writing by appropriate ICCB staff. Please include a short description of any costs listed under this Budget Category.</w:t>
            </w:r>
          </w:p>
        </w:tc>
      </w:tr>
    </w:tbl>
    <w:p w14:paraId="6AAD3D84" w14:textId="77777777" w:rsidR="008C2A1C" w:rsidRPr="008C2A1C" w:rsidRDefault="008C2A1C" w:rsidP="008C2A1C">
      <w:pPr>
        <w:spacing w:after="0" w:line="240" w:lineRule="auto"/>
        <w:jc w:val="both"/>
        <w:rPr>
          <w:rFonts w:ascii="Times New Roman" w:eastAsia="Times New Roman" w:hAnsi="Times New Roman" w:cs="Times New Roman"/>
          <w:sz w:val="24"/>
          <w:szCs w:val="24"/>
        </w:rPr>
      </w:pPr>
    </w:p>
    <w:p w14:paraId="131DEBEA" w14:textId="77777777" w:rsidR="006468BF" w:rsidRPr="00DC2AB0" w:rsidRDefault="006468BF" w:rsidP="00A45FD9">
      <w:pPr>
        <w:spacing w:after="0" w:line="240" w:lineRule="auto"/>
        <w:jc w:val="both"/>
        <w:rPr>
          <w:rFonts w:ascii="Times New Roman" w:eastAsia="Times New Roman" w:hAnsi="Times New Roman" w:cs="Times New Roman"/>
          <w:sz w:val="24"/>
          <w:szCs w:val="24"/>
        </w:rPr>
      </w:pPr>
    </w:p>
    <w:p w14:paraId="7DF02641" w14:textId="77777777" w:rsidR="008119F6" w:rsidRPr="00DC2AB0" w:rsidRDefault="00B7483F" w:rsidP="00A45FD9">
      <w:pPr>
        <w:pStyle w:val="ListParagraph"/>
        <w:numPr>
          <w:ilvl w:val="0"/>
          <w:numId w:val="4"/>
        </w:numPr>
        <w:spacing w:after="0" w:line="240" w:lineRule="auto"/>
        <w:jc w:val="both"/>
        <w:rPr>
          <w:rFonts w:ascii="Times New Roman" w:eastAsia="Times New Roman" w:hAnsi="Times New Roman" w:cs="Times New Roman"/>
          <w:sz w:val="24"/>
          <w:szCs w:val="24"/>
        </w:rPr>
      </w:pPr>
      <w:r w:rsidRPr="00DC2AB0">
        <w:rPr>
          <w:rFonts w:ascii="Times New Roman" w:eastAsia="Times New Roman" w:hAnsi="Times New Roman" w:cs="Times New Roman"/>
          <w:b/>
          <w:sz w:val="24"/>
          <w:szCs w:val="24"/>
        </w:rPr>
        <w:t>Eligibility Information</w:t>
      </w:r>
      <w:r w:rsidRPr="00DC2AB0">
        <w:rPr>
          <w:rFonts w:ascii="Times New Roman" w:eastAsia="Times New Roman" w:hAnsi="Times New Roman" w:cs="Times New Roman"/>
          <w:sz w:val="24"/>
          <w:szCs w:val="24"/>
        </w:rPr>
        <w:t xml:space="preserve"> </w:t>
      </w:r>
    </w:p>
    <w:p w14:paraId="00F878F0" w14:textId="77777777" w:rsidR="004D42EC" w:rsidRPr="00DC2AB0" w:rsidRDefault="004D42EC" w:rsidP="00A45FD9">
      <w:pPr>
        <w:spacing w:after="0" w:line="240" w:lineRule="auto"/>
        <w:jc w:val="both"/>
        <w:rPr>
          <w:rFonts w:ascii="Times New Roman" w:hAnsi="Times New Roman" w:cs="Times New Roman"/>
          <w:sz w:val="24"/>
          <w:szCs w:val="24"/>
        </w:rPr>
      </w:pPr>
    </w:p>
    <w:p w14:paraId="57444343" w14:textId="77777777" w:rsidR="00E16AED" w:rsidRPr="00DC2AB0" w:rsidRDefault="000F57D0" w:rsidP="00A45FD9">
      <w:pPr>
        <w:spacing w:after="0" w:line="240" w:lineRule="auto"/>
        <w:ind w:firstLine="360"/>
        <w:jc w:val="both"/>
        <w:rPr>
          <w:rFonts w:ascii="Times New Roman" w:eastAsia="Times New Roman" w:hAnsi="Times New Roman" w:cs="Times New Roman"/>
          <w:sz w:val="24"/>
          <w:szCs w:val="24"/>
        </w:rPr>
      </w:pPr>
      <w:r w:rsidRPr="00DC2AB0">
        <w:rPr>
          <w:rFonts w:ascii="Times New Roman" w:eastAsia="Times New Roman" w:hAnsi="Times New Roman" w:cs="Times New Roman"/>
          <w:iCs/>
          <w:sz w:val="24"/>
          <w:szCs w:val="24"/>
          <w:u w:val="single"/>
        </w:rPr>
        <w:t>Eligible Applicants</w:t>
      </w:r>
      <w:r w:rsidR="00E16AED" w:rsidRPr="00DC2AB0">
        <w:rPr>
          <w:rFonts w:ascii="Times New Roman" w:eastAsia="Times New Roman" w:hAnsi="Times New Roman" w:cs="Times New Roman"/>
          <w:iCs/>
          <w:sz w:val="24"/>
          <w:szCs w:val="24"/>
        </w:rPr>
        <w:t>:</w:t>
      </w:r>
      <w:r w:rsidR="00B7483F" w:rsidRPr="00DC2AB0">
        <w:rPr>
          <w:rFonts w:ascii="Times New Roman" w:eastAsia="Times New Roman" w:hAnsi="Times New Roman" w:cs="Times New Roman"/>
          <w:sz w:val="24"/>
          <w:szCs w:val="24"/>
        </w:rPr>
        <w:t xml:space="preserve"> </w:t>
      </w:r>
    </w:p>
    <w:p w14:paraId="70D54465" w14:textId="77777777" w:rsidR="000F57D0" w:rsidRPr="00DC2AB0" w:rsidRDefault="002829B4" w:rsidP="00A45FD9">
      <w:pPr>
        <w:spacing w:after="0" w:line="240" w:lineRule="auto"/>
        <w:ind w:left="360"/>
        <w:jc w:val="both"/>
        <w:rPr>
          <w:rFonts w:ascii="Times New Roman" w:eastAsia="Times New Roman" w:hAnsi="Times New Roman" w:cs="Times New Roman"/>
          <w:sz w:val="24"/>
          <w:szCs w:val="24"/>
        </w:rPr>
      </w:pPr>
      <w:r w:rsidRPr="00DC2AB0">
        <w:rPr>
          <w:rFonts w:ascii="Times New Roman" w:eastAsia="Times New Roman" w:hAnsi="Times New Roman" w:cs="Times New Roman"/>
          <w:sz w:val="24"/>
          <w:szCs w:val="24"/>
        </w:rPr>
        <w:t>Eligible grant recipients include Illinois postsecondary institutions</w:t>
      </w:r>
      <w:r w:rsidR="008C2A1C">
        <w:rPr>
          <w:rFonts w:ascii="Times New Roman" w:eastAsia="Times New Roman" w:hAnsi="Times New Roman" w:cs="Times New Roman"/>
          <w:sz w:val="24"/>
          <w:szCs w:val="24"/>
        </w:rPr>
        <w:t xml:space="preserve"> (public community colleges)</w:t>
      </w:r>
      <w:r w:rsidRPr="00DC2AB0">
        <w:rPr>
          <w:rFonts w:ascii="Times New Roman" w:eastAsia="Times New Roman" w:hAnsi="Times New Roman" w:cs="Times New Roman"/>
          <w:sz w:val="24"/>
          <w:szCs w:val="24"/>
        </w:rPr>
        <w:t xml:space="preserve"> that receive basic formula funding under the Carl D. Perkins Career and Technical Education Act of 2006. Submissions that are late or are in any way incomplete will not be considered for funding.</w:t>
      </w:r>
    </w:p>
    <w:p w14:paraId="40ADC0F1" w14:textId="77777777" w:rsidR="007B0CB6" w:rsidRPr="00DC2AB0" w:rsidRDefault="007B0CB6" w:rsidP="00A45FD9">
      <w:pPr>
        <w:pStyle w:val="ListParagraph"/>
        <w:spacing w:after="0" w:line="240" w:lineRule="auto"/>
        <w:jc w:val="both"/>
        <w:rPr>
          <w:rFonts w:ascii="Times New Roman" w:eastAsia="Times New Roman" w:hAnsi="Times New Roman" w:cs="Times New Roman"/>
          <w:b/>
          <w:i/>
          <w:iCs/>
          <w:sz w:val="24"/>
          <w:szCs w:val="24"/>
        </w:rPr>
      </w:pPr>
    </w:p>
    <w:p w14:paraId="64CFA6E7" w14:textId="77777777" w:rsidR="002829B4" w:rsidRPr="00DC2AB0" w:rsidRDefault="002829B4" w:rsidP="00A45FD9">
      <w:pPr>
        <w:spacing w:after="0" w:line="240" w:lineRule="auto"/>
        <w:ind w:left="360"/>
        <w:jc w:val="both"/>
        <w:rPr>
          <w:rFonts w:ascii="Times New Roman" w:eastAsia="Times New Roman" w:hAnsi="Times New Roman" w:cs="Times New Roman"/>
          <w:sz w:val="24"/>
          <w:szCs w:val="24"/>
        </w:rPr>
      </w:pPr>
      <w:r w:rsidRPr="00DC2AB0">
        <w:rPr>
          <w:rFonts w:ascii="Times New Roman" w:eastAsia="Times New Roman" w:hAnsi="Times New Roman" w:cs="Times New Roman"/>
          <w:sz w:val="24"/>
          <w:szCs w:val="24"/>
        </w:rPr>
        <w:t>Grant recipients</w:t>
      </w:r>
      <w:r w:rsidR="00562FC6" w:rsidRPr="00DC2AB0">
        <w:rPr>
          <w:rFonts w:ascii="Times New Roman" w:eastAsia="Times New Roman" w:hAnsi="Times New Roman" w:cs="Times New Roman"/>
          <w:sz w:val="24"/>
          <w:szCs w:val="24"/>
        </w:rPr>
        <w:t xml:space="preserve"> must comply wit</w:t>
      </w:r>
      <w:r w:rsidR="007901E3" w:rsidRPr="00DC2AB0">
        <w:rPr>
          <w:rFonts w:ascii="Times New Roman" w:eastAsia="Times New Roman" w:hAnsi="Times New Roman" w:cs="Times New Roman"/>
          <w:sz w:val="24"/>
          <w:szCs w:val="24"/>
        </w:rPr>
        <w:t>h all applicable provisions of s</w:t>
      </w:r>
      <w:r w:rsidR="00562FC6" w:rsidRPr="00DC2AB0">
        <w:rPr>
          <w:rFonts w:ascii="Times New Roman" w:eastAsia="Times New Roman" w:hAnsi="Times New Roman" w:cs="Times New Roman"/>
          <w:sz w:val="24"/>
          <w:szCs w:val="24"/>
        </w:rPr>
        <w:t>tate and federal laws and regulations pertaining to nondiscrimination, sexual harassment and equal employment opportunity including, but not limited to</w:t>
      </w:r>
      <w:r w:rsidR="007901E3" w:rsidRPr="00DC2AB0">
        <w:rPr>
          <w:rFonts w:ascii="Times New Roman" w:eastAsia="Times New Roman" w:hAnsi="Times New Roman" w:cs="Times New Roman"/>
          <w:sz w:val="24"/>
          <w:szCs w:val="24"/>
        </w:rPr>
        <w:t xml:space="preserve">: The Illinois Human Rights Act (775 ILCS 5/1-101 </w:t>
      </w:r>
      <w:r w:rsidR="007901E3" w:rsidRPr="00DC2AB0">
        <w:rPr>
          <w:rFonts w:ascii="Times New Roman" w:eastAsia="Times New Roman" w:hAnsi="Times New Roman" w:cs="Times New Roman"/>
          <w:i/>
          <w:sz w:val="24"/>
          <w:szCs w:val="24"/>
        </w:rPr>
        <w:t>et seq.)</w:t>
      </w:r>
      <w:r w:rsidR="007901E3" w:rsidRPr="00DC2AB0">
        <w:rPr>
          <w:rFonts w:ascii="Times New Roman" w:eastAsia="Times New Roman" w:hAnsi="Times New Roman" w:cs="Times New Roman"/>
          <w:sz w:val="24"/>
          <w:szCs w:val="24"/>
        </w:rPr>
        <w:t xml:space="preserve">, The Public Works Employment Discrimination Act (775 ILCS 10/1 </w:t>
      </w:r>
      <w:r w:rsidR="007901E3" w:rsidRPr="00DC2AB0">
        <w:rPr>
          <w:rFonts w:ascii="Times New Roman" w:eastAsia="Times New Roman" w:hAnsi="Times New Roman" w:cs="Times New Roman"/>
          <w:i/>
          <w:sz w:val="24"/>
          <w:szCs w:val="24"/>
        </w:rPr>
        <w:t>et seq.)</w:t>
      </w:r>
      <w:r w:rsidR="007901E3" w:rsidRPr="00DC2AB0">
        <w:rPr>
          <w:rFonts w:ascii="Times New Roman" w:eastAsia="Times New Roman" w:hAnsi="Times New Roman" w:cs="Times New Roman"/>
          <w:sz w:val="24"/>
          <w:szCs w:val="24"/>
        </w:rPr>
        <w:t xml:space="preserve">, The United States Civil Rights Act of 1964 (as amended) (42 USC 2000a-and 2000H-6), Section 504 of the Rehabilitation Act of 1973 (29 USC 794), The Americans with Disabilities Act of 1990 (42 USC 12101 </w:t>
      </w:r>
      <w:r w:rsidR="007901E3" w:rsidRPr="00DC2AB0">
        <w:rPr>
          <w:rFonts w:ascii="Times New Roman" w:eastAsia="Times New Roman" w:hAnsi="Times New Roman" w:cs="Times New Roman"/>
          <w:i/>
          <w:sz w:val="24"/>
          <w:szCs w:val="24"/>
        </w:rPr>
        <w:t>et seq.)</w:t>
      </w:r>
      <w:r w:rsidR="007901E3" w:rsidRPr="00DC2AB0">
        <w:rPr>
          <w:rFonts w:ascii="Times New Roman" w:eastAsia="Times New Roman" w:hAnsi="Times New Roman" w:cs="Times New Roman"/>
          <w:sz w:val="24"/>
          <w:szCs w:val="24"/>
        </w:rPr>
        <w:t xml:space="preserve">, and The Age Discrimination Act (42 USC 6101 </w:t>
      </w:r>
      <w:r w:rsidR="007901E3" w:rsidRPr="00DC2AB0">
        <w:rPr>
          <w:rFonts w:ascii="Times New Roman" w:eastAsia="Times New Roman" w:hAnsi="Times New Roman" w:cs="Times New Roman"/>
          <w:i/>
          <w:sz w:val="24"/>
          <w:szCs w:val="24"/>
        </w:rPr>
        <w:t>et seq.).</w:t>
      </w:r>
      <w:r w:rsidR="00562FC6" w:rsidRPr="00DC2AB0">
        <w:rPr>
          <w:rFonts w:ascii="Times New Roman" w:eastAsia="Times New Roman" w:hAnsi="Times New Roman" w:cs="Times New Roman"/>
          <w:sz w:val="24"/>
          <w:szCs w:val="24"/>
        </w:rPr>
        <w:t xml:space="preserve">  </w:t>
      </w:r>
    </w:p>
    <w:p w14:paraId="0D42E574" w14:textId="77777777" w:rsidR="002829B4" w:rsidRPr="00DC2AB0" w:rsidRDefault="002829B4" w:rsidP="00A45FD9">
      <w:pPr>
        <w:pStyle w:val="ListParagraph"/>
        <w:spacing w:after="0" w:line="240" w:lineRule="auto"/>
        <w:jc w:val="both"/>
        <w:rPr>
          <w:rFonts w:ascii="Times New Roman" w:eastAsia="Times New Roman" w:hAnsi="Times New Roman" w:cs="Times New Roman"/>
          <w:sz w:val="24"/>
          <w:szCs w:val="24"/>
        </w:rPr>
      </w:pPr>
    </w:p>
    <w:p w14:paraId="5A695E71" w14:textId="77777777" w:rsidR="00AD2A2D" w:rsidRPr="00DC2AB0" w:rsidRDefault="002829B4" w:rsidP="00A45FD9">
      <w:pPr>
        <w:spacing w:after="0" w:line="240" w:lineRule="auto"/>
        <w:ind w:left="360"/>
        <w:jc w:val="both"/>
        <w:rPr>
          <w:rFonts w:ascii="Times New Roman" w:eastAsia="Times New Roman" w:hAnsi="Times New Roman" w:cs="Times New Roman"/>
          <w:sz w:val="24"/>
          <w:szCs w:val="24"/>
        </w:rPr>
      </w:pPr>
      <w:r w:rsidRPr="00DC2AB0">
        <w:rPr>
          <w:rFonts w:ascii="Times New Roman" w:hAnsi="Times New Roman" w:cs="Times New Roman"/>
          <w:sz w:val="24"/>
          <w:szCs w:val="24"/>
        </w:rPr>
        <w:t xml:space="preserve">An entity may apply for a grant but will not be eligible for a grant award until the entity has pre-qualified through the Grant Accountability and Transparency Act (GATA) Grantee Portal, </w:t>
      </w:r>
      <w:hyperlink r:id="rId11" w:history="1">
        <w:r w:rsidRPr="00DC2AB0">
          <w:rPr>
            <w:rStyle w:val="Hyperlink"/>
            <w:rFonts w:ascii="Times New Roman" w:hAnsi="Times New Roman" w:cs="Times New Roman"/>
            <w:sz w:val="24"/>
            <w:szCs w:val="24"/>
          </w:rPr>
          <w:t>www.grants.illinois.gov</w:t>
        </w:r>
      </w:hyperlink>
      <w:r w:rsidR="00F476EF" w:rsidRPr="00DC2AB0">
        <w:rPr>
          <w:rFonts w:ascii="Times New Roman" w:hAnsi="Times New Roman" w:cs="Times New Roman"/>
          <w:sz w:val="24"/>
          <w:szCs w:val="24"/>
        </w:rPr>
        <w:t xml:space="preserve">. </w:t>
      </w:r>
      <w:r w:rsidRPr="00DC2AB0">
        <w:rPr>
          <w:rFonts w:ascii="Times New Roman" w:hAnsi="Times New Roman" w:cs="Times New Roman"/>
          <w:sz w:val="24"/>
          <w:szCs w:val="24"/>
        </w:rPr>
        <w:t>During pre-qualification, Dun and Bradstreet verifications are performed including a check of Debarred and Suspended status and good standing with the Secretary of State</w:t>
      </w:r>
      <w:r w:rsidR="00F476EF" w:rsidRPr="00DC2AB0">
        <w:rPr>
          <w:rFonts w:ascii="Times New Roman" w:hAnsi="Times New Roman" w:cs="Times New Roman"/>
          <w:sz w:val="24"/>
          <w:szCs w:val="24"/>
        </w:rPr>
        <w:t xml:space="preserve"> (see below).</w:t>
      </w:r>
      <w:r w:rsidRPr="00DC2AB0">
        <w:rPr>
          <w:rFonts w:ascii="Times New Roman" w:hAnsi="Times New Roman" w:cs="Times New Roman"/>
          <w:sz w:val="24"/>
          <w:szCs w:val="24"/>
        </w:rPr>
        <w:t xml:space="preserve"> The pre-qualification process also includes a financial and administrative risk assessment utilizing an In</w:t>
      </w:r>
      <w:r w:rsidR="00F476EF" w:rsidRPr="00DC2AB0">
        <w:rPr>
          <w:rFonts w:ascii="Times New Roman" w:hAnsi="Times New Roman" w:cs="Times New Roman"/>
          <w:sz w:val="24"/>
          <w:szCs w:val="24"/>
        </w:rPr>
        <w:t xml:space="preserve">ternal Controls Questionnaire. </w:t>
      </w:r>
      <w:r w:rsidRPr="00DC2AB0">
        <w:rPr>
          <w:rFonts w:ascii="Times New Roman" w:hAnsi="Times New Roman" w:cs="Times New Roman"/>
          <w:sz w:val="24"/>
          <w:szCs w:val="24"/>
        </w:rPr>
        <w:t>If applicable, the entity will be notified that it is ineligible for award as a result of the Dun and Bradstreet verification</w:t>
      </w:r>
      <w:r w:rsidR="00F476EF" w:rsidRPr="00DC2AB0">
        <w:rPr>
          <w:rFonts w:ascii="Times New Roman" w:hAnsi="Times New Roman" w:cs="Times New Roman"/>
          <w:sz w:val="24"/>
          <w:szCs w:val="24"/>
        </w:rPr>
        <w:t xml:space="preserve">. </w:t>
      </w:r>
      <w:r w:rsidRPr="00DC2AB0">
        <w:rPr>
          <w:rFonts w:ascii="Times New Roman" w:hAnsi="Times New Roman" w:cs="Times New Roman"/>
          <w:sz w:val="24"/>
          <w:szCs w:val="24"/>
        </w:rPr>
        <w:t>The entity will be informed of corrective action needed to become eligible for a grant award.</w:t>
      </w:r>
    </w:p>
    <w:p w14:paraId="175903F3" w14:textId="77777777" w:rsidR="00F476EF" w:rsidRPr="00DC2AB0" w:rsidRDefault="00F476EF" w:rsidP="00A45FD9">
      <w:pPr>
        <w:spacing w:after="0" w:line="240" w:lineRule="auto"/>
        <w:jc w:val="both"/>
        <w:rPr>
          <w:rFonts w:ascii="Times New Roman" w:eastAsia="Times New Roman" w:hAnsi="Times New Roman" w:cs="Times New Roman"/>
          <w:b/>
          <w:i/>
          <w:iCs/>
          <w:sz w:val="24"/>
          <w:szCs w:val="24"/>
        </w:rPr>
      </w:pPr>
    </w:p>
    <w:p w14:paraId="4CF92E29" w14:textId="77777777" w:rsidR="00F476EF" w:rsidRPr="00DC2AB0" w:rsidRDefault="00E16AED" w:rsidP="00A45FD9">
      <w:pPr>
        <w:spacing w:after="0" w:line="240" w:lineRule="auto"/>
        <w:ind w:firstLine="360"/>
        <w:jc w:val="both"/>
        <w:rPr>
          <w:rFonts w:ascii="Times New Roman" w:eastAsia="Times New Roman" w:hAnsi="Times New Roman" w:cs="Times New Roman"/>
          <w:iCs/>
          <w:sz w:val="24"/>
          <w:szCs w:val="24"/>
          <w:u w:val="single"/>
        </w:rPr>
      </w:pPr>
      <w:r w:rsidRPr="00DC2AB0">
        <w:rPr>
          <w:rFonts w:ascii="Times New Roman" w:eastAsia="Times New Roman" w:hAnsi="Times New Roman" w:cs="Times New Roman"/>
          <w:iCs/>
          <w:sz w:val="24"/>
          <w:szCs w:val="24"/>
          <w:u w:val="single"/>
        </w:rPr>
        <w:t>Dun and Bradstreet Universal Numbering System (DUNS) Number and System for</w:t>
      </w:r>
      <w:r w:rsidR="00F476EF" w:rsidRPr="00DC2AB0">
        <w:rPr>
          <w:rFonts w:ascii="Times New Roman" w:eastAsia="Times New Roman" w:hAnsi="Times New Roman" w:cs="Times New Roman"/>
          <w:iCs/>
          <w:sz w:val="24"/>
          <w:szCs w:val="24"/>
          <w:u w:val="single"/>
        </w:rPr>
        <w:t xml:space="preserve"> Award</w:t>
      </w:r>
    </w:p>
    <w:p w14:paraId="0E6CAD2B" w14:textId="77777777" w:rsidR="00F476EF" w:rsidRPr="00DC2AB0" w:rsidRDefault="00E16AED" w:rsidP="00A45FD9">
      <w:pPr>
        <w:spacing w:after="0" w:line="240" w:lineRule="auto"/>
        <w:ind w:firstLine="360"/>
        <w:jc w:val="both"/>
        <w:rPr>
          <w:rFonts w:ascii="Times New Roman" w:eastAsia="Times New Roman" w:hAnsi="Times New Roman" w:cs="Times New Roman"/>
          <w:sz w:val="24"/>
          <w:szCs w:val="24"/>
        </w:rPr>
      </w:pPr>
      <w:r w:rsidRPr="00DC2AB0">
        <w:rPr>
          <w:rFonts w:ascii="Times New Roman" w:eastAsia="Times New Roman" w:hAnsi="Times New Roman" w:cs="Times New Roman"/>
          <w:iCs/>
          <w:sz w:val="24"/>
          <w:szCs w:val="24"/>
          <w:u w:val="single"/>
        </w:rPr>
        <w:t>Management (SAM)</w:t>
      </w:r>
      <w:r w:rsidR="00F476EF" w:rsidRPr="00DC2AB0">
        <w:rPr>
          <w:rFonts w:ascii="Times New Roman" w:eastAsia="Times New Roman" w:hAnsi="Times New Roman" w:cs="Times New Roman"/>
          <w:iCs/>
          <w:sz w:val="24"/>
          <w:szCs w:val="24"/>
        </w:rPr>
        <w:t>:</w:t>
      </w:r>
      <w:r w:rsidRPr="00DC2AB0">
        <w:rPr>
          <w:rFonts w:ascii="Times New Roman" w:eastAsia="Times New Roman" w:hAnsi="Times New Roman" w:cs="Times New Roman"/>
          <w:sz w:val="24"/>
          <w:szCs w:val="24"/>
        </w:rPr>
        <w:t xml:space="preserve"> </w:t>
      </w:r>
    </w:p>
    <w:p w14:paraId="7A3C0F07" w14:textId="77777777" w:rsidR="00F476EF" w:rsidRPr="00DC2AB0" w:rsidRDefault="00E16AED" w:rsidP="00A45FD9">
      <w:pPr>
        <w:spacing w:after="0" w:line="240" w:lineRule="auto"/>
        <w:ind w:left="360"/>
        <w:jc w:val="both"/>
        <w:rPr>
          <w:rFonts w:ascii="Times New Roman" w:eastAsia="Times New Roman" w:hAnsi="Times New Roman" w:cs="Times New Roman"/>
          <w:sz w:val="24"/>
          <w:szCs w:val="24"/>
        </w:rPr>
      </w:pPr>
      <w:r w:rsidRPr="00DC2AB0">
        <w:rPr>
          <w:rFonts w:ascii="Times New Roman" w:eastAsia="Times New Roman" w:hAnsi="Times New Roman" w:cs="Times New Roman"/>
          <w:sz w:val="24"/>
          <w:szCs w:val="24"/>
        </w:rPr>
        <w:lastRenderedPageBreak/>
        <w:t xml:space="preserve">Each applicant (unless the applicant is an individual or Federal or State awarding agency that is exempt from those requirements under 2 CFR § 25.110(b) or (c), or has an exception approved by the Federal or State awarding agency under 2 CFR § 25.110(d)) is required to: </w:t>
      </w:r>
    </w:p>
    <w:p w14:paraId="6D197986" w14:textId="77777777" w:rsidR="00F476EF" w:rsidRPr="00DC2AB0" w:rsidRDefault="00E16AED" w:rsidP="00A45FD9">
      <w:pPr>
        <w:pStyle w:val="ListParagraph"/>
        <w:numPr>
          <w:ilvl w:val="0"/>
          <w:numId w:val="33"/>
        </w:numPr>
        <w:spacing w:after="0" w:line="240" w:lineRule="auto"/>
        <w:jc w:val="both"/>
        <w:rPr>
          <w:rFonts w:ascii="Times New Roman" w:eastAsia="Times New Roman" w:hAnsi="Times New Roman" w:cs="Times New Roman"/>
          <w:sz w:val="24"/>
          <w:szCs w:val="24"/>
        </w:rPr>
      </w:pPr>
      <w:r w:rsidRPr="00DC2AB0">
        <w:rPr>
          <w:rFonts w:ascii="Times New Roman" w:eastAsia="Times New Roman" w:hAnsi="Times New Roman" w:cs="Times New Roman"/>
          <w:sz w:val="24"/>
          <w:szCs w:val="24"/>
        </w:rPr>
        <w:t xml:space="preserve">Be registered in SAM before submitting its application.  If you are not registered in SAM, this link provides a connection for SAM registration:  </w:t>
      </w:r>
      <w:hyperlink r:id="rId12" w:history="1">
        <w:r w:rsidR="00F476EF" w:rsidRPr="00DC2AB0">
          <w:rPr>
            <w:rStyle w:val="Hyperlink"/>
            <w:rFonts w:ascii="Times New Roman" w:eastAsia="Times New Roman" w:hAnsi="Times New Roman" w:cs="Times New Roman"/>
            <w:sz w:val="24"/>
            <w:szCs w:val="24"/>
          </w:rPr>
          <w:t>https://governmentcontractregistration.com/sam-registration.asp</w:t>
        </w:r>
      </w:hyperlink>
      <w:r w:rsidRPr="00DC2AB0">
        <w:rPr>
          <w:rFonts w:ascii="Times New Roman" w:eastAsia="Times New Roman" w:hAnsi="Times New Roman" w:cs="Times New Roman"/>
          <w:sz w:val="24"/>
          <w:szCs w:val="24"/>
        </w:rPr>
        <w:t>;</w:t>
      </w:r>
    </w:p>
    <w:p w14:paraId="0557FECC" w14:textId="77777777" w:rsidR="00F476EF" w:rsidRPr="00DC2AB0" w:rsidRDefault="00E16AED" w:rsidP="00A45FD9">
      <w:pPr>
        <w:pStyle w:val="ListParagraph"/>
        <w:numPr>
          <w:ilvl w:val="0"/>
          <w:numId w:val="33"/>
        </w:numPr>
        <w:spacing w:after="0" w:line="240" w:lineRule="auto"/>
        <w:jc w:val="both"/>
        <w:rPr>
          <w:rFonts w:ascii="Times New Roman" w:eastAsia="Times New Roman" w:hAnsi="Times New Roman" w:cs="Times New Roman"/>
          <w:sz w:val="24"/>
          <w:szCs w:val="24"/>
        </w:rPr>
      </w:pPr>
      <w:r w:rsidRPr="00DC2AB0">
        <w:rPr>
          <w:rFonts w:ascii="Times New Roman" w:eastAsia="Times New Roman" w:hAnsi="Times New Roman" w:cs="Times New Roman"/>
          <w:sz w:val="24"/>
          <w:szCs w:val="24"/>
        </w:rPr>
        <w:t>provide a valid DUNS</w:t>
      </w:r>
      <w:r w:rsidR="00F476EF" w:rsidRPr="00DC2AB0">
        <w:rPr>
          <w:rFonts w:ascii="Times New Roman" w:eastAsia="Times New Roman" w:hAnsi="Times New Roman" w:cs="Times New Roman"/>
          <w:sz w:val="24"/>
          <w:szCs w:val="24"/>
        </w:rPr>
        <w:t xml:space="preserve"> number in its application; </w:t>
      </w:r>
    </w:p>
    <w:p w14:paraId="1BD687FE" w14:textId="77777777" w:rsidR="00E16AED" w:rsidRPr="00DC2AB0" w:rsidRDefault="00E16AED" w:rsidP="00A45FD9">
      <w:pPr>
        <w:pStyle w:val="ListParagraph"/>
        <w:numPr>
          <w:ilvl w:val="0"/>
          <w:numId w:val="33"/>
        </w:numPr>
        <w:spacing w:after="0" w:line="240" w:lineRule="auto"/>
        <w:jc w:val="both"/>
        <w:rPr>
          <w:rFonts w:ascii="Times New Roman" w:eastAsia="Times New Roman" w:hAnsi="Times New Roman" w:cs="Times New Roman"/>
          <w:sz w:val="24"/>
          <w:szCs w:val="24"/>
        </w:rPr>
      </w:pPr>
      <w:r w:rsidRPr="00DC2AB0">
        <w:rPr>
          <w:rFonts w:ascii="Times New Roman" w:eastAsia="Times New Roman" w:hAnsi="Times New Roman" w:cs="Times New Roman"/>
          <w:sz w:val="24"/>
          <w:szCs w:val="24"/>
        </w:rPr>
        <w:t>continue to maintain an active SAM registration with current information at all times during which it has an active Federal, Federal pass-through or State award or an application or plan under consideration by a Federal or State awarding agency. It also must state that the State awarding agency may not make a Federal pass-through or State award to an applicant until the applicant has complied with all applicable DUNS and SAM requirements and, if an applicant has not fully complied with the requirements by the time the State awarding agency is ready to make a Federal pass-through or State award, the State awarding agency may determine that the applicant is not qualified to receive a Federal pass-through or State award and use that determination as a basis for making a Federal pass-through or State award to another applicant.</w:t>
      </w:r>
    </w:p>
    <w:p w14:paraId="102BD160" w14:textId="77777777" w:rsidR="00B7483F" w:rsidRPr="00DC2AB0" w:rsidRDefault="00B7483F" w:rsidP="00A45FD9">
      <w:pPr>
        <w:spacing w:after="0" w:line="240" w:lineRule="auto"/>
        <w:ind w:left="720" w:hanging="360"/>
        <w:jc w:val="both"/>
        <w:rPr>
          <w:rFonts w:ascii="Times New Roman" w:eastAsia="Times New Roman" w:hAnsi="Times New Roman" w:cs="Times New Roman"/>
          <w:vanish/>
          <w:sz w:val="24"/>
          <w:szCs w:val="24"/>
        </w:rPr>
      </w:pPr>
      <w:r w:rsidRPr="00DC2AB0">
        <w:rPr>
          <w:rFonts w:ascii="Times New Roman" w:eastAsia="Times New Roman" w:hAnsi="Times New Roman" w:cs="Times New Roman"/>
          <w:vanish/>
          <w:sz w:val="24"/>
          <w:szCs w:val="24"/>
        </w:rPr>
        <w:t>Code of Federal Regulations / Title 2 - Grants and Agreements / Vol. 1 / 2014-01-01191</w:t>
      </w:r>
    </w:p>
    <w:p w14:paraId="7C0C08E4" w14:textId="77777777" w:rsidR="00F476EF" w:rsidRPr="00DC2AB0" w:rsidRDefault="00F476EF" w:rsidP="00A45FD9">
      <w:pPr>
        <w:spacing w:after="0" w:line="240" w:lineRule="auto"/>
        <w:jc w:val="both"/>
        <w:rPr>
          <w:rFonts w:ascii="Times New Roman" w:eastAsia="Times New Roman" w:hAnsi="Times New Roman" w:cs="Times New Roman"/>
          <w:b/>
          <w:sz w:val="24"/>
          <w:szCs w:val="24"/>
        </w:rPr>
      </w:pPr>
    </w:p>
    <w:p w14:paraId="74BE1BCB" w14:textId="77777777" w:rsidR="00B7483F" w:rsidRPr="00DC2AB0" w:rsidRDefault="00B7483F" w:rsidP="00A45FD9">
      <w:pPr>
        <w:spacing w:after="0" w:line="240" w:lineRule="auto"/>
        <w:jc w:val="both"/>
        <w:rPr>
          <w:rFonts w:ascii="Times New Roman" w:eastAsia="Times New Roman" w:hAnsi="Times New Roman" w:cs="Times New Roman"/>
          <w:b/>
          <w:sz w:val="24"/>
          <w:szCs w:val="24"/>
        </w:rPr>
      </w:pPr>
      <w:r w:rsidRPr="00DC2AB0">
        <w:rPr>
          <w:rFonts w:ascii="Times New Roman" w:eastAsia="Times New Roman" w:hAnsi="Times New Roman" w:cs="Times New Roman"/>
          <w:b/>
          <w:sz w:val="24"/>
          <w:szCs w:val="24"/>
        </w:rPr>
        <w:t xml:space="preserve">D. </w:t>
      </w:r>
      <w:r w:rsidR="00CE2C25" w:rsidRPr="00DC2AB0">
        <w:rPr>
          <w:rFonts w:ascii="Times New Roman" w:eastAsia="Times New Roman" w:hAnsi="Times New Roman" w:cs="Times New Roman"/>
          <w:b/>
          <w:sz w:val="24"/>
          <w:szCs w:val="24"/>
        </w:rPr>
        <w:t xml:space="preserve"> </w:t>
      </w:r>
      <w:r w:rsidRPr="00DC2AB0">
        <w:rPr>
          <w:rFonts w:ascii="Times New Roman" w:eastAsia="Times New Roman" w:hAnsi="Times New Roman" w:cs="Times New Roman"/>
          <w:b/>
          <w:sz w:val="24"/>
          <w:szCs w:val="24"/>
        </w:rPr>
        <w:t>Application and Submission Information</w:t>
      </w:r>
    </w:p>
    <w:p w14:paraId="3C3D3C73" w14:textId="77777777" w:rsidR="00CE2C25" w:rsidRPr="00DC2AB0" w:rsidRDefault="00CE2C25" w:rsidP="00A45FD9">
      <w:pPr>
        <w:spacing w:after="0" w:line="240" w:lineRule="auto"/>
        <w:jc w:val="both"/>
        <w:rPr>
          <w:rFonts w:ascii="Times New Roman" w:eastAsia="Times New Roman" w:hAnsi="Times New Roman" w:cs="Times New Roman"/>
          <w:b/>
          <w:sz w:val="24"/>
          <w:szCs w:val="24"/>
        </w:rPr>
      </w:pPr>
    </w:p>
    <w:p w14:paraId="1444CB71" w14:textId="77777777" w:rsidR="00126C64" w:rsidRPr="00DC2AB0" w:rsidRDefault="004D0AB1" w:rsidP="00A45FD9">
      <w:pPr>
        <w:spacing w:after="0" w:line="240" w:lineRule="auto"/>
        <w:ind w:firstLine="720"/>
        <w:jc w:val="both"/>
        <w:rPr>
          <w:rFonts w:ascii="Times New Roman" w:eastAsia="Times New Roman" w:hAnsi="Times New Roman" w:cs="Times New Roman"/>
          <w:sz w:val="24"/>
          <w:szCs w:val="24"/>
        </w:rPr>
      </w:pPr>
      <w:r w:rsidRPr="00DC2AB0">
        <w:rPr>
          <w:rFonts w:ascii="Times New Roman" w:eastAsia="Times New Roman" w:hAnsi="Times New Roman" w:cs="Times New Roman"/>
          <w:iCs/>
          <w:sz w:val="24"/>
          <w:szCs w:val="24"/>
          <w:u w:val="single"/>
        </w:rPr>
        <w:t>Application</w:t>
      </w:r>
      <w:r w:rsidR="00126C64" w:rsidRPr="00DC2AB0">
        <w:rPr>
          <w:rFonts w:ascii="Times New Roman" w:eastAsia="Times New Roman" w:hAnsi="Times New Roman" w:cs="Times New Roman"/>
          <w:iCs/>
          <w:sz w:val="24"/>
          <w:szCs w:val="24"/>
        </w:rPr>
        <w:t>:</w:t>
      </w:r>
    </w:p>
    <w:p w14:paraId="2E3D625A" w14:textId="2484BD35" w:rsidR="00B7483F" w:rsidRPr="00DC2AB0" w:rsidRDefault="002829B4" w:rsidP="00284871">
      <w:pPr>
        <w:spacing w:after="0" w:line="240" w:lineRule="auto"/>
        <w:ind w:left="720"/>
        <w:rPr>
          <w:rFonts w:ascii="Times New Roman" w:eastAsia="Times New Roman" w:hAnsi="Times New Roman" w:cs="Times New Roman"/>
          <w:sz w:val="24"/>
          <w:szCs w:val="24"/>
        </w:rPr>
      </w:pPr>
      <w:r w:rsidRPr="00DC2AB0">
        <w:rPr>
          <w:rFonts w:ascii="Times New Roman" w:eastAsia="Times New Roman" w:hAnsi="Times New Roman" w:cs="Times New Roman"/>
          <w:sz w:val="24"/>
          <w:szCs w:val="24"/>
        </w:rPr>
        <w:t>Grant application materials can be found</w:t>
      </w:r>
      <w:r w:rsidR="00F476EF" w:rsidRPr="00DC2AB0">
        <w:rPr>
          <w:rFonts w:ascii="Times New Roman" w:eastAsia="Times New Roman" w:hAnsi="Times New Roman" w:cs="Times New Roman"/>
          <w:sz w:val="24"/>
          <w:szCs w:val="24"/>
        </w:rPr>
        <w:t xml:space="preserve"> </w:t>
      </w:r>
      <w:r w:rsidRPr="00DC2AB0">
        <w:rPr>
          <w:rFonts w:ascii="Times New Roman" w:eastAsia="Times New Roman" w:hAnsi="Times New Roman" w:cs="Times New Roman"/>
          <w:sz w:val="24"/>
          <w:szCs w:val="24"/>
        </w:rPr>
        <w:t xml:space="preserve">on the </w:t>
      </w:r>
      <w:r w:rsidRPr="00C96257">
        <w:rPr>
          <w:rFonts w:ascii="Times New Roman" w:eastAsia="Times New Roman" w:hAnsi="Times New Roman" w:cs="Times New Roman"/>
          <w:sz w:val="24"/>
          <w:szCs w:val="24"/>
        </w:rPr>
        <w:t>ICCB CTE website</w:t>
      </w:r>
      <w:r w:rsidR="00C96257">
        <w:rPr>
          <w:rFonts w:ascii="Times New Roman" w:eastAsia="Times New Roman" w:hAnsi="Times New Roman" w:cs="Times New Roman"/>
          <w:sz w:val="24"/>
          <w:szCs w:val="24"/>
        </w:rPr>
        <w:t xml:space="preserve"> </w:t>
      </w:r>
      <w:hyperlink r:id="rId13" w:history="1">
        <w:r w:rsidR="00C96257" w:rsidRPr="005E39A4">
          <w:rPr>
            <w:rStyle w:val="Hyperlink"/>
            <w:rFonts w:ascii="Times New Roman" w:eastAsia="Times New Roman" w:hAnsi="Times New Roman" w:cs="Times New Roman"/>
            <w:sz w:val="24"/>
            <w:szCs w:val="24"/>
          </w:rPr>
          <w:t>https://www.iccb.org/cte/?page_id=73</w:t>
        </w:r>
      </w:hyperlink>
      <w:r w:rsidR="00C96257">
        <w:rPr>
          <w:rFonts w:ascii="Times New Roman" w:eastAsia="Times New Roman" w:hAnsi="Times New Roman" w:cs="Times New Roman"/>
          <w:sz w:val="24"/>
          <w:szCs w:val="24"/>
        </w:rPr>
        <w:t>.</w:t>
      </w:r>
    </w:p>
    <w:p w14:paraId="03F2E84C" w14:textId="77777777" w:rsidR="00B7483F" w:rsidRPr="00DC2AB0" w:rsidRDefault="00B7483F" w:rsidP="00A45FD9">
      <w:pPr>
        <w:spacing w:after="0" w:line="240" w:lineRule="auto"/>
        <w:ind w:left="720" w:hanging="360"/>
        <w:jc w:val="both"/>
        <w:rPr>
          <w:rFonts w:ascii="Times New Roman" w:eastAsia="Times New Roman" w:hAnsi="Times New Roman" w:cs="Times New Roman"/>
          <w:sz w:val="24"/>
          <w:szCs w:val="24"/>
        </w:rPr>
      </w:pPr>
      <w:bookmarkStart w:id="0" w:name="_GoBack"/>
      <w:bookmarkEnd w:id="0"/>
    </w:p>
    <w:p w14:paraId="18C657AC" w14:textId="77777777" w:rsidR="00126C64" w:rsidRPr="00DC2AB0" w:rsidRDefault="004D0AB1" w:rsidP="00A45FD9">
      <w:pPr>
        <w:spacing w:after="0" w:line="240" w:lineRule="auto"/>
        <w:ind w:left="720"/>
        <w:jc w:val="both"/>
        <w:rPr>
          <w:rFonts w:ascii="Times New Roman" w:eastAsia="Times New Roman" w:hAnsi="Times New Roman" w:cs="Times New Roman"/>
          <w:sz w:val="24"/>
          <w:szCs w:val="24"/>
        </w:rPr>
      </w:pPr>
      <w:r w:rsidRPr="00DC2AB0">
        <w:rPr>
          <w:rFonts w:ascii="Times New Roman" w:eastAsia="Times New Roman" w:hAnsi="Times New Roman" w:cs="Times New Roman"/>
          <w:iCs/>
          <w:sz w:val="24"/>
          <w:szCs w:val="24"/>
          <w:u w:val="single"/>
        </w:rPr>
        <w:t>Submission</w:t>
      </w:r>
      <w:r w:rsidR="00126C64" w:rsidRPr="00DC2AB0">
        <w:rPr>
          <w:rFonts w:ascii="Times New Roman" w:eastAsia="Times New Roman" w:hAnsi="Times New Roman" w:cs="Times New Roman"/>
          <w:iCs/>
          <w:sz w:val="24"/>
          <w:szCs w:val="24"/>
        </w:rPr>
        <w:t>:</w:t>
      </w:r>
    </w:p>
    <w:p w14:paraId="0C1E0D79" w14:textId="58B514F8" w:rsidR="00126C64" w:rsidRPr="00DC2AB0" w:rsidRDefault="00126C64" w:rsidP="00A45FD9">
      <w:pPr>
        <w:pStyle w:val="ListParagraph"/>
        <w:numPr>
          <w:ilvl w:val="0"/>
          <w:numId w:val="28"/>
        </w:numPr>
        <w:spacing w:after="0" w:line="240" w:lineRule="auto"/>
        <w:jc w:val="both"/>
        <w:rPr>
          <w:rFonts w:ascii="Times New Roman" w:eastAsia="Times New Roman" w:hAnsi="Times New Roman" w:cs="Times New Roman"/>
          <w:sz w:val="24"/>
          <w:szCs w:val="24"/>
        </w:rPr>
      </w:pPr>
      <w:r w:rsidRPr="00DC2AB0">
        <w:rPr>
          <w:rFonts w:ascii="Times New Roman" w:hAnsi="Times New Roman" w:cs="Times New Roman"/>
          <w:b/>
          <w:sz w:val="24"/>
          <w:szCs w:val="24"/>
        </w:rPr>
        <w:t xml:space="preserve">Applications, including the Uniform Budget, are due by 5 p.m. on </w:t>
      </w:r>
      <w:r w:rsidR="00A54BC4">
        <w:rPr>
          <w:rFonts w:ascii="Times New Roman" w:hAnsi="Times New Roman" w:cs="Times New Roman"/>
          <w:b/>
          <w:sz w:val="24"/>
          <w:szCs w:val="24"/>
        </w:rPr>
        <w:t>November 2</w:t>
      </w:r>
      <w:r w:rsidRPr="00DC2AB0">
        <w:rPr>
          <w:rFonts w:ascii="Times New Roman" w:hAnsi="Times New Roman" w:cs="Times New Roman"/>
          <w:b/>
          <w:sz w:val="24"/>
          <w:szCs w:val="24"/>
        </w:rPr>
        <w:t>, 2018</w:t>
      </w:r>
      <w:r w:rsidRPr="00DC2AB0">
        <w:rPr>
          <w:rFonts w:ascii="Times New Roman" w:hAnsi="Times New Roman" w:cs="Times New Roman"/>
          <w:sz w:val="24"/>
          <w:szCs w:val="24"/>
        </w:rPr>
        <w:t xml:space="preserve">. All application documents should be signed and dated, where appropriate. </w:t>
      </w:r>
    </w:p>
    <w:p w14:paraId="77F77FF8" w14:textId="77777777" w:rsidR="00126C64" w:rsidRPr="00DC2AB0" w:rsidRDefault="00126C64" w:rsidP="00A45FD9">
      <w:pPr>
        <w:pStyle w:val="ListParagraph"/>
        <w:numPr>
          <w:ilvl w:val="0"/>
          <w:numId w:val="28"/>
        </w:numPr>
        <w:spacing w:after="0" w:line="240" w:lineRule="auto"/>
        <w:jc w:val="both"/>
        <w:rPr>
          <w:rFonts w:ascii="Times New Roman" w:eastAsia="Times New Roman" w:hAnsi="Times New Roman" w:cs="Times New Roman"/>
          <w:sz w:val="24"/>
          <w:szCs w:val="24"/>
        </w:rPr>
      </w:pPr>
      <w:r w:rsidRPr="00DC2AB0">
        <w:rPr>
          <w:rFonts w:ascii="Times New Roman" w:hAnsi="Times New Roman" w:cs="Times New Roman"/>
          <w:sz w:val="24"/>
          <w:szCs w:val="24"/>
        </w:rPr>
        <w:t xml:space="preserve">All questions, applications, and required reports should be submitted electronically to </w:t>
      </w:r>
      <w:hyperlink r:id="rId14" w:history="1">
        <w:r w:rsidRPr="00DC2AB0">
          <w:rPr>
            <w:rFonts w:ascii="Times New Roman" w:hAnsi="Times New Roman" w:cs="Times New Roman"/>
            <w:color w:val="0000FF" w:themeColor="hyperlink"/>
            <w:sz w:val="24"/>
            <w:szCs w:val="24"/>
            <w:u w:val="single"/>
          </w:rPr>
          <w:t>cte@iccb.state.il.us</w:t>
        </w:r>
      </w:hyperlink>
      <w:r w:rsidRPr="00DC2AB0">
        <w:rPr>
          <w:rFonts w:ascii="Times New Roman" w:hAnsi="Times New Roman" w:cs="Times New Roman"/>
          <w:sz w:val="24"/>
          <w:szCs w:val="24"/>
        </w:rPr>
        <w:t>. Paper copies are not permitted. Applicants will receive confirmation of receipt.</w:t>
      </w:r>
    </w:p>
    <w:p w14:paraId="6CF542F4" w14:textId="4864DF29" w:rsidR="00B7483F" w:rsidRPr="008C2A1C" w:rsidRDefault="00126C64" w:rsidP="008C2A1C">
      <w:pPr>
        <w:pStyle w:val="ListParagraph"/>
        <w:numPr>
          <w:ilvl w:val="0"/>
          <w:numId w:val="28"/>
        </w:numPr>
        <w:spacing w:after="0" w:line="240" w:lineRule="auto"/>
        <w:jc w:val="both"/>
        <w:rPr>
          <w:rFonts w:ascii="Times New Roman" w:eastAsia="Times New Roman" w:hAnsi="Times New Roman" w:cs="Times New Roman"/>
          <w:sz w:val="24"/>
          <w:szCs w:val="24"/>
        </w:rPr>
      </w:pPr>
      <w:r w:rsidRPr="00DC2AB0">
        <w:rPr>
          <w:rFonts w:ascii="Times New Roman" w:hAnsi="Times New Roman" w:cs="Times New Roman"/>
          <w:sz w:val="24"/>
          <w:szCs w:val="24"/>
        </w:rPr>
        <w:t xml:space="preserve">All applicants, funded or not funded, will be notified by </w:t>
      </w:r>
      <w:r w:rsidR="00A54BC4">
        <w:rPr>
          <w:rFonts w:ascii="Times New Roman" w:hAnsi="Times New Roman" w:cs="Times New Roman"/>
          <w:sz w:val="24"/>
          <w:szCs w:val="24"/>
        </w:rPr>
        <w:t>December 15</w:t>
      </w:r>
      <w:r w:rsidRPr="00DC2AB0">
        <w:rPr>
          <w:rFonts w:ascii="Times New Roman" w:hAnsi="Times New Roman" w:cs="Times New Roman"/>
          <w:sz w:val="24"/>
          <w:szCs w:val="24"/>
        </w:rPr>
        <w:t>, 2018.</w:t>
      </w:r>
    </w:p>
    <w:p w14:paraId="18168035" w14:textId="77777777" w:rsidR="00E51761" w:rsidRPr="00DC2AB0" w:rsidRDefault="00E51761" w:rsidP="00A45FD9">
      <w:pPr>
        <w:spacing w:after="0" w:line="240" w:lineRule="auto"/>
        <w:ind w:left="1350" w:hanging="270"/>
        <w:jc w:val="both"/>
        <w:rPr>
          <w:rFonts w:ascii="Times New Roman" w:eastAsia="Times New Roman" w:hAnsi="Times New Roman" w:cs="Times New Roman"/>
          <w:sz w:val="24"/>
          <w:szCs w:val="24"/>
        </w:rPr>
      </w:pPr>
    </w:p>
    <w:p w14:paraId="32412495" w14:textId="77777777" w:rsidR="00B7483F" w:rsidRPr="00DC2AB0" w:rsidRDefault="00B7483F" w:rsidP="00A45FD9">
      <w:pPr>
        <w:spacing w:after="0" w:line="240" w:lineRule="auto"/>
        <w:ind w:left="720"/>
        <w:jc w:val="both"/>
        <w:rPr>
          <w:rFonts w:ascii="Times New Roman" w:eastAsia="Times New Roman" w:hAnsi="Times New Roman" w:cs="Times New Roman"/>
          <w:b/>
          <w:vanish/>
          <w:sz w:val="24"/>
          <w:szCs w:val="24"/>
        </w:rPr>
      </w:pPr>
      <w:r w:rsidRPr="00DC2AB0">
        <w:rPr>
          <w:rFonts w:ascii="Times New Roman" w:eastAsia="Times New Roman" w:hAnsi="Times New Roman" w:cs="Times New Roman"/>
          <w:b/>
          <w:vanish/>
          <w:sz w:val="24"/>
          <w:szCs w:val="24"/>
        </w:rPr>
        <w:t>Code of Federal Regulations / Title 2 - Grants and Agreements / Vol. 1 / 2014-01-01192</w:t>
      </w:r>
    </w:p>
    <w:p w14:paraId="08252BDE" w14:textId="77777777" w:rsidR="00B7483F" w:rsidRPr="00DC2AB0" w:rsidRDefault="00B7483F" w:rsidP="00A45FD9">
      <w:pPr>
        <w:spacing w:after="0" w:line="240" w:lineRule="auto"/>
        <w:jc w:val="both"/>
        <w:rPr>
          <w:rFonts w:ascii="Times New Roman" w:eastAsia="Times New Roman" w:hAnsi="Times New Roman" w:cs="Times New Roman"/>
          <w:b/>
          <w:sz w:val="24"/>
          <w:szCs w:val="24"/>
        </w:rPr>
      </w:pPr>
      <w:r w:rsidRPr="00DC2AB0">
        <w:rPr>
          <w:rFonts w:ascii="Times New Roman" w:eastAsia="Times New Roman" w:hAnsi="Times New Roman" w:cs="Times New Roman"/>
          <w:b/>
          <w:sz w:val="24"/>
          <w:szCs w:val="24"/>
        </w:rPr>
        <w:t>E. Application Review Information</w:t>
      </w:r>
    </w:p>
    <w:p w14:paraId="15109EEB" w14:textId="77777777" w:rsidR="00B7483F" w:rsidRPr="00DC2AB0" w:rsidRDefault="00B7483F" w:rsidP="00A45FD9">
      <w:pPr>
        <w:spacing w:after="0" w:line="240" w:lineRule="auto"/>
        <w:jc w:val="both"/>
        <w:rPr>
          <w:rFonts w:ascii="Times New Roman" w:eastAsia="Times New Roman" w:hAnsi="Times New Roman" w:cs="Times New Roman"/>
          <w:b/>
          <w:sz w:val="24"/>
          <w:szCs w:val="24"/>
        </w:rPr>
      </w:pPr>
    </w:p>
    <w:p w14:paraId="39AD6AD9" w14:textId="77777777" w:rsidR="00F476EF" w:rsidRPr="00DC2AB0" w:rsidRDefault="00D15F32" w:rsidP="00A45FD9">
      <w:pPr>
        <w:spacing w:after="0" w:line="240" w:lineRule="auto"/>
        <w:ind w:left="360" w:firstLine="360"/>
        <w:jc w:val="both"/>
        <w:rPr>
          <w:rFonts w:ascii="Times New Roman" w:eastAsia="Times New Roman" w:hAnsi="Times New Roman" w:cs="Times New Roman"/>
          <w:sz w:val="24"/>
          <w:szCs w:val="24"/>
        </w:rPr>
      </w:pPr>
      <w:r w:rsidRPr="00DC2AB0">
        <w:rPr>
          <w:rFonts w:ascii="Times New Roman" w:eastAsia="Times New Roman" w:hAnsi="Times New Roman" w:cs="Times New Roman"/>
          <w:iCs/>
          <w:sz w:val="24"/>
          <w:szCs w:val="24"/>
          <w:u w:val="single"/>
        </w:rPr>
        <w:t>Criteria</w:t>
      </w:r>
      <w:r w:rsidR="00F476EF" w:rsidRPr="00DC2AB0">
        <w:rPr>
          <w:rFonts w:ascii="Times New Roman" w:eastAsia="Times New Roman" w:hAnsi="Times New Roman" w:cs="Times New Roman"/>
          <w:iCs/>
          <w:sz w:val="24"/>
          <w:szCs w:val="24"/>
        </w:rPr>
        <w:t>:</w:t>
      </w:r>
      <w:r w:rsidR="00B7483F" w:rsidRPr="00DC2AB0">
        <w:rPr>
          <w:rFonts w:ascii="Times New Roman" w:eastAsia="Times New Roman" w:hAnsi="Times New Roman" w:cs="Times New Roman"/>
          <w:sz w:val="24"/>
          <w:szCs w:val="24"/>
        </w:rPr>
        <w:t xml:space="preserve"> </w:t>
      </w:r>
    </w:p>
    <w:p w14:paraId="4CE8D9A1" w14:textId="77777777" w:rsidR="00B7483F" w:rsidRPr="00DC2AB0" w:rsidRDefault="0092562B" w:rsidP="00A45FD9">
      <w:pPr>
        <w:pStyle w:val="ListParagraph"/>
        <w:spacing w:after="0" w:line="240" w:lineRule="auto"/>
        <w:jc w:val="both"/>
        <w:rPr>
          <w:rFonts w:ascii="Times New Roman" w:eastAsia="Times New Roman" w:hAnsi="Times New Roman" w:cs="Times New Roman"/>
          <w:sz w:val="24"/>
          <w:szCs w:val="24"/>
        </w:rPr>
      </w:pPr>
      <w:r w:rsidRPr="00DC2AB0">
        <w:rPr>
          <w:rFonts w:ascii="Times New Roman" w:eastAsia="Times New Roman" w:hAnsi="Times New Roman" w:cs="Times New Roman"/>
          <w:sz w:val="24"/>
          <w:szCs w:val="24"/>
        </w:rPr>
        <w:t>Applicants must demonstrate that they meet all requirements under this NOFO as described throughout. Applications that fail to meet the criteria as identified in Section C</w:t>
      </w:r>
      <w:r w:rsidR="007D1481" w:rsidRPr="00DC2AB0">
        <w:rPr>
          <w:rFonts w:ascii="Times New Roman" w:eastAsia="Times New Roman" w:hAnsi="Times New Roman" w:cs="Times New Roman"/>
          <w:sz w:val="24"/>
          <w:szCs w:val="24"/>
        </w:rPr>
        <w:t>,</w:t>
      </w:r>
      <w:r w:rsidRPr="00DC2AB0">
        <w:rPr>
          <w:rFonts w:ascii="Times New Roman" w:eastAsia="Times New Roman" w:hAnsi="Times New Roman" w:cs="Times New Roman"/>
          <w:sz w:val="24"/>
          <w:szCs w:val="24"/>
        </w:rPr>
        <w:t xml:space="preserve"> "Eligibility Information" may not be scor</w:t>
      </w:r>
      <w:r w:rsidR="00805FC8" w:rsidRPr="00DC2AB0">
        <w:rPr>
          <w:rFonts w:ascii="Times New Roman" w:eastAsia="Times New Roman" w:hAnsi="Times New Roman" w:cs="Times New Roman"/>
          <w:sz w:val="24"/>
          <w:szCs w:val="24"/>
        </w:rPr>
        <w:t>ed and considered for funding.</w:t>
      </w:r>
      <w:r w:rsidR="00E51761" w:rsidRPr="00DC2AB0">
        <w:rPr>
          <w:rFonts w:ascii="Times New Roman" w:eastAsia="Times New Roman" w:hAnsi="Times New Roman" w:cs="Times New Roman"/>
          <w:sz w:val="24"/>
          <w:szCs w:val="24"/>
        </w:rPr>
        <w:t xml:space="preserve"> </w:t>
      </w:r>
      <w:r w:rsidR="00E51761" w:rsidRPr="00DC2AB0">
        <w:rPr>
          <w:rFonts w:ascii="Times New Roman" w:hAnsi="Times New Roman" w:cs="Times New Roman"/>
          <w:sz w:val="24"/>
          <w:szCs w:val="24"/>
        </w:rPr>
        <w:t>Submissions that are late or are in any way incomplete will not be considered</w:t>
      </w:r>
      <w:r w:rsidR="000F3461" w:rsidRPr="00DC2AB0">
        <w:rPr>
          <w:rFonts w:ascii="Times New Roman" w:hAnsi="Times New Roman" w:cs="Times New Roman"/>
          <w:sz w:val="24"/>
          <w:szCs w:val="24"/>
        </w:rPr>
        <w:t xml:space="preserve"> for funding</w:t>
      </w:r>
      <w:r w:rsidR="00E51761" w:rsidRPr="00DC2AB0">
        <w:rPr>
          <w:rFonts w:ascii="Times New Roman" w:hAnsi="Times New Roman" w:cs="Times New Roman"/>
          <w:sz w:val="24"/>
          <w:szCs w:val="24"/>
        </w:rPr>
        <w:t>.</w:t>
      </w:r>
      <w:r w:rsidR="000F3461" w:rsidRPr="00DC2AB0">
        <w:rPr>
          <w:rFonts w:ascii="Times New Roman" w:hAnsi="Times New Roman" w:cs="Times New Roman"/>
          <w:sz w:val="24"/>
          <w:szCs w:val="24"/>
        </w:rPr>
        <w:t xml:space="preserve"> Likewise, any submissions which contain unallowable expenditures will not be considered.</w:t>
      </w:r>
      <w:r w:rsidR="00805FC8" w:rsidRPr="00DC2AB0">
        <w:rPr>
          <w:rFonts w:ascii="Times New Roman" w:eastAsia="Times New Roman" w:hAnsi="Times New Roman" w:cs="Times New Roman"/>
          <w:sz w:val="24"/>
          <w:szCs w:val="24"/>
        </w:rPr>
        <w:t xml:space="preserve"> </w:t>
      </w:r>
      <w:r w:rsidRPr="00DC2AB0">
        <w:rPr>
          <w:rFonts w:ascii="Times New Roman" w:eastAsia="Times New Roman" w:hAnsi="Times New Roman" w:cs="Times New Roman"/>
          <w:sz w:val="24"/>
          <w:szCs w:val="24"/>
        </w:rPr>
        <w:t>The following criteria will be used to evaluate applications:</w:t>
      </w:r>
    </w:p>
    <w:p w14:paraId="1BF1C451" w14:textId="77777777" w:rsidR="0092562B" w:rsidRPr="00DC2AB0" w:rsidRDefault="0092562B" w:rsidP="00A45FD9">
      <w:pPr>
        <w:spacing w:after="0" w:line="240" w:lineRule="auto"/>
        <w:ind w:left="720"/>
        <w:jc w:val="both"/>
        <w:rPr>
          <w:rFonts w:ascii="Times New Roman" w:eastAsia="Times New Roman" w:hAnsi="Times New Roman" w:cs="Times New Roman"/>
          <w:sz w:val="24"/>
          <w:szCs w:val="24"/>
        </w:rPr>
      </w:pPr>
    </w:p>
    <w:p w14:paraId="25050E33" w14:textId="77777777" w:rsidR="0092562B" w:rsidRPr="00DC2AB0" w:rsidRDefault="0092562B" w:rsidP="00A45FD9">
      <w:pPr>
        <w:spacing w:after="0" w:line="240" w:lineRule="auto"/>
        <w:ind w:left="720"/>
        <w:jc w:val="both"/>
        <w:rPr>
          <w:rFonts w:ascii="Times New Roman" w:eastAsia="Times New Roman" w:hAnsi="Times New Roman" w:cs="Times New Roman"/>
          <w:i/>
          <w:sz w:val="24"/>
          <w:szCs w:val="24"/>
        </w:rPr>
      </w:pPr>
      <w:r w:rsidRPr="00DC2AB0">
        <w:rPr>
          <w:rFonts w:ascii="Times New Roman" w:eastAsia="Times New Roman" w:hAnsi="Times New Roman" w:cs="Times New Roman"/>
          <w:i/>
          <w:sz w:val="24"/>
          <w:szCs w:val="24"/>
        </w:rPr>
        <w:t>Project Need</w:t>
      </w:r>
      <w:r w:rsidR="004C756C" w:rsidRPr="00DC2AB0">
        <w:rPr>
          <w:rFonts w:ascii="Times New Roman" w:eastAsia="Times New Roman" w:hAnsi="Times New Roman" w:cs="Times New Roman"/>
          <w:i/>
          <w:sz w:val="24"/>
          <w:szCs w:val="24"/>
        </w:rPr>
        <w:t xml:space="preserve"> (20%)</w:t>
      </w:r>
    </w:p>
    <w:p w14:paraId="4DFE8BE6" w14:textId="77777777" w:rsidR="0092562B" w:rsidRPr="00DC2AB0" w:rsidRDefault="00805FC8" w:rsidP="00A45FD9">
      <w:pPr>
        <w:pStyle w:val="ListParagraph"/>
        <w:numPr>
          <w:ilvl w:val="0"/>
          <w:numId w:val="31"/>
        </w:numPr>
        <w:spacing w:after="0" w:line="240" w:lineRule="auto"/>
        <w:jc w:val="both"/>
        <w:rPr>
          <w:rFonts w:ascii="Times New Roman" w:eastAsia="Times New Roman" w:hAnsi="Times New Roman" w:cs="Times New Roman"/>
          <w:sz w:val="24"/>
          <w:szCs w:val="24"/>
        </w:rPr>
      </w:pPr>
      <w:r w:rsidRPr="00DC2AB0">
        <w:rPr>
          <w:rFonts w:ascii="Times New Roman" w:eastAsia="Times New Roman" w:hAnsi="Times New Roman" w:cs="Times New Roman"/>
          <w:sz w:val="24"/>
          <w:szCs w:val="24"/>
        </w:rPr>
        <w:t>The college should identify both programmatic and financial need for the grant.</w:t>
      </w:r>
    </w:p>
    <w:p w14:paraId="3949DA6F" w14:textId="77777777" w:rsidR="00805FC8" w:rsidRPr="00DC2AB0" w:rsidRDefault="00805FC8" w:rsidP="00A45FD9">
      <w:pPr>
        <w:pStyle w:val="ListParagraph"/>
        <w:numPr>
          <w:ilvl w:val="0"/>
          <w:numId w:val="31"/>
        </w:numPr>
        <w:spacing w:after="0" w:line="240" w:lineRule="auto"/>
        <w:jc w:val="both"/>
        <w:rPr>
          <w:rFonts w:ascii="Times New Roman" w:eastAsia="Times New Roman" w:hAnsi="Times New Roman" w:cs="Times New Roman"/>
          <w:sz w:val="24"/>
          <w:szCs w:val="24"/>
        </w:rPr>
      </w:pPr>
      <w:r w:rsidRPr="00DC2AB0">
        <w:rPr>
          <w:rFonts w:ascii="Times New Roman" w:eastAsia="Times New Roman" w:hAnsi="Times New Roman" w:cs="Times New Roman"/>
          <w:sz w:val="24"/>
          <w:szCs w:val="24"/>
        </w:rPr>
        <w:t>Supporting data and documentation should be provided to support said need.</w:t>
      </w:r>
    </w:p>
    <w:p w14:paraId="614DB308" w14:textId="77777777" w:rsidR="0092562B" w:rsidRPr="00DC2AB0" w:rsidRDefault="0092562B" w:rsidP="00A45FD9">
      <w:pPr>
        <w:spacing w:after="0" w:line="240" w:lineRule="auto"/>
        <w:ind w:left="720"/>
        <w:jc w:val="both"/>
        <w:rPr>
          <w:rFonts w:ascii="Times New Roman" w:eastAsia="Times New Roman" w:hAnsi="Times New Roman" w:cs="Times New Roman"/>
          <w:sz w:val="24"/>
          <w:szCs w:val="24"/>
        </w:rPr>
      </w:pPr>
    </w:p>
    <w:p w14:paraId="7CDA2A85" w14:textId="77777777" w:rsidR="0092562B" w:rsidRPr="00DC2AB0" w:rsidRDefault="0092562B" w:rsidP="00A45FD9">
      <w:pPr>
        <w:spacing w:after="0" w:line="240" w:lineRule="auto"/>
        <w:ind w:left="720"/>
        <w:jc w:val="both"/>
        <w:rPr>
          <w:rFonts w:ascii="Times New Roman" w:eastAsia="Times New Roman" w:hAnsi="Times New Roman" w:cs="Times New Roman"/>
          <w:i/>
          <w:sz w:val="24"/>
          <w:szCs w:val="24"/>
        </w:rPr>
      </w:pPr>
      <w:r w:rsidRPr="00DC2AB0">
        <w:rPr>
          <w:rFonts w:ascii="Times New Roman" w:eastAsia="Times New Roman" w:hAnsi="Times New Roman" w:cs="Times New Roman"/>
          <w:i/>
          <w:sz w:val="24"/>
          <w:szCs w:val="24"/>
        </w:rPr>
        <w:t>Project Quality</w:t>
      </w:r>
      <w:r w:rsidR="004C756C" w:rsidRPr="00DC2AB0">
        <w:rPr>
          <w:rFonts w:ascii="Times New Roman" w:eastAsia="Times New Roman" w:hAnsi="Times New Roman" w:cs="Times New Roman"/>
          <w:i/>
          <w:sz w:val="24"/>
          <w:szCs w:val="24"/>
        </w:rPr>
        <w:t xml:space="preserve"> (4</w:t>
      </w:r>
      <w:r w:rsidR="0072248C" w:rsidRPr="00DC2AB0">
        <w:rPr>
          <w:rFonts w:ascii="Times New Roman" w:eastAsia="Times New Roman" w:hAnsi="Times New Roman" w:cs="Times New Roman"/>
          <w:i/>
          <w:sz w:val="24"/>
          <w:szCs w:val="24"/>
        </w:rPr>
        <w:t>0%)</w:t>
      </w:r>
    </w:p>
    <w:p w14:paraId="589E30BE" w14:textId="7CC267D2" w:rsidR="0092562B" w:rsidRPr="00DC2AB0" w:rsidRDefault="0092562B" w:rsidP="00A45FD9">
      <w:pPr>
        <w:pStyle w:val="ListParagraph"/>
        <w:numPr>
          <w:ilvl w:val="0"/>
          <w:numId w:val="29"/>
        </w:numPr>
        <w:spacing w:after="0" w:line="240" w:lineRule="auto"/>
        <w:jc w:val="both"/>
        <w:rPr>
          <w:rFonts w:ascii="Times New Roman" w:eastAsia="Times New Roman" w:hAnsi="Times New Roman" w:cs="Times New Roman"/>
          <w:sz w:val="24"/>
          <w:szCs w:val="24"/>
        </w:rPr>
      </w:pPr>
      <w:r w:rsidRPr="00DC2AB0">
        <w:rPr>
          <w:rFonts w:ascii="Times New Roman" w:eastAsia="Times New Roman" w:hAnsi="Times New Roman" w:cs="Times New Roman"/>
          <w:sz w:val="24"/>
          <w:szCs w:val="24"/>
        </w:rPr>
        <w:t>Activities</w:t>
      </w:r>
      <w:r w:rsidR="0024749A" w:rsidRPr="00DC2AB0">
        <w:rPr>
          <w:rFonts w:ascii="Times New Roman" w:eastAsia="Times New Roman" w:hAnsi="Times New Roman" w:cs="Times New Roman"/>
          <w:sz w:val="24"/>
          <w:szCs w:val="24"/>
        </w:rPr>
        <w:t xml:space="preserve"> are thoroughly described</w:t>
      </w:r>
      <w:r w:rsidR="002C23A9">
        <w:rPr>
          <w:rFonts w:ascii="Times New Roman" w:eastAsia="Times New Roman" w:hAnsi="Times New Roman" w:cs="Times New Roman"/>
          <w:sz w:val="24"/>
          <w:szCs w:val="24"/>
        </w:rPr>
        <w:t>, supported by evidence</w:t>
      </w:r>
      <w:r w:rsidR="00A54BC4">
        <w:rPr>
          <w:rFonts w:ascii="Times New Roman" w:eastAsia="Times New Roman" w:hAnsi="Times New Roman" w:cs="Times New Roman"/>
          <w:sz w:val="24"/>
          <w:szCs w:val="24"/>
        </w:rPr>
        <w:t xml:space="preserve"> and/or data</w:t>
      </w:r>
      <w:r w:rsidR="002C23A9">
        <w:rPr>
          <w:rFonts w:ascii="Times New Roman" w:eastAsia="Times New Roman" w:hAnsi="Times New Roman" w:cs="Times New Roman"/>
          <w:sz w:val="24"/>
          <w:szCs w:val="24"/>
        </w:rPr>
        <w:t xml:space="preserve">, </w:t>
      </w:r>
      <w:r w:rsidR="0024749A" w:rsidRPr="00DC2AB0">
        <w:rPr>
          <w:rFonts w:ascii="Times New Roman" w:eastAsia="Times New Roman" w:hAnsi="Times New Roman" w:cs="Times New Roman"/>
          <w:sz w:val="24"/>
          <w:szCs w:val="24"/>
        </w:rPr>
        <w:t>include specific tasks and</w:t>
      </w:r>
      <w:r w:rsidRPr="00DC2AB0">
        <w:rPr>
          <w:rFonts w:ascii="Times New Roman" w:eastAsia="Times New Roman" w:hAnsi="Times New Roman" w:cs="Times New Roman"/>
          <w:sz w:val="24"/>
          <w:szCs w:val="24"/>
        </w:rPr>
        <w:t xml:space="preserve"> </w:t>
      </w:r>
      <w:r w:rsidR="0024749A" w:rsidRPr="00DC2AB0">
        <w:rPr>
          <w:rFonts w:ascii="Times New Roman" w:eastAsia="Times New Roman" w:hAnsi="Times New Roman" w:cs="Times New Roman"/>
          <w:sz w:val="24"/>
          <w:szCs w:val="24"/>
        </w:rPr>
        <w:t>t</w:t>
      </w:r>
      <w:r w:rsidRPr="00DC2AB0">
        <w:rPr>
          <w:rFonts w:ascii="Times New Roman" w:eastAsia="Times New Roman" w:hAnsi="Times New Roman" w:cs="Times New Roman"/>
          <w:sz w:val="24"/>
          <w:szCs w:val="24"/>
        </w:rPr>
        <w:t>imeline</w:t>
      </w:r>
      <w:r w:rsidR="0024749A" w:rsidRPr="00DC2AB0">
        <w:rPr>
          <w:rFonts w:ascii="Times New Roman" w:eastAsia="Times New Roman" w:hAnsi="Times New Roman" w:cs="Times New Roman"/>
          <w:sz w:val="24"/>
          <w:szCs w:val="24"/>
        </w:rPr>
        <w:t xml:space="preserve">s, </w:t>
      </w:r>
      <w:r w:rsidR="002C23A9">
        <w:rPr>
          <w:rFonts w:ascii="Times New Roman" w:eastAsia="Times New Roman" w:hAnsi="Times New Roman" w:cs="Times New Roman"/>
          <w:sz w:val="24"/>
          <w:szCs w:val="24"/>
        </w:rPr>
        <w:t>and</w:t>
      </w:r>
      <w:r w:rsidR="0024749A" w:rsidRPr="00DC2AB0">
        <w:rPr>
          <w:rFonts w:ascii="Times New Roman" w:eastAsia="Times New Roman" w:hAnsi="Times New Roman" w:cs="Times New Roman"/>
          <w:sz w:val="24"/>
          <w:szCs w:val="24"/>
        </w:rPr>
        <w:t xml:space="preserve"> relate to the identified objectives.</w:t>
      </w:r>
    </w:p>
    <w:p w14:paraId="47C0CFC0" w14:textId="0EF8C275" w:rsidR="0092562B" w:rsidRDefault="00805FC8" w:rsidP="00A45FD9">
      <w:pPr>
        <w:pStyle w:val="ListParagraph"/>
        <w:numPr>
          <w:ilvl w:val="0"/>
          <w:numId w:val="29"/>
        </w:numPr>
        <w:spacing w:after="0" w:line="240" w:lineRule="auto"/>
        <w:jc w:val="both"/>
        <w:rPr>
          <w:rFonts w:ascii="Times New Roman" w:eastAsia="Times New Roman" w:hAnsi="Times New Roman" w:cs="Times New Roman"/>
          <w:sz w:val="24"/>
          <w:szCs w:val="24"/>
        </w:rPr>
      </w:pPr>
      <w:r w:rsidRPr="00DC2AB0">
        <w:rPr>
          <w:rFonts w:ascii="Times New Roman" w:eastAsia="Times New Roman" w:hAnsi="Times New Roman" w:cs="Times New Roman"/>
          <w:sz w:val="24"/>
          <w:szCs w:val="24"/>
        </w:rPr>
        <w:t>Integration with key partners</w:t>
      </w:r>
      <w:r w:rsidR="0024749A" w:rsidRPr="00DC2AB0">
        <w:rPr>
          <w:rFonts w:ascii="Times New Roman" w:eastAsia="Times New Roman" w:hAnsi="Times New Roman" w:cs="Times New Roman"/>
          <w:sz w:val="24"/>
          <w:szCs w:val="24"/>
        </w:rPr>
        <w:t>, internal and external,</w:t>
      </w:r>
      <w:r w:rsidRPr="00DC2AB0">
        <w:rPr>
          <w:rFonts w:ascii="Times New Roman" w:eastAsia="Times New Roman" w:hAnsi="Times New Roman" w:cs="Times New Roman"/>
          <w:sz w:val="24"/>
          <w:szCs w:val="24"/>
        </w:rPr>
        <w:t xml:space="preserve"> and strength of those partnerships</w:t>
      </w:r>
      <w:r w:rsidR="0024749A" w:rsidRPr="00DC2AB0">
        <w:rPr>
          <w:rFonts w:ascii="Times New Roman" w:eastAsia="Times New Roman" w:hAnsi="Times New Roman" w:cs="Times New Roman"/>
          <w:sz w:val="24"/>
          <w:szCs w:val="24"/>
        </w:rPr>
        <w:t xml:space="preserve">, as well as detailing each partner’s role. </w:t>
      </w:r>
    </w:p>
    <w:p w14:paraId="7848B42E" w14:textId="2690A34C" w:rsidR="0029510E" w:rsidRPr="00DC2AB0" w:rsidRDefault="0029510E" w:rsidP="00A45FD9">
      <w:pPr>
        <w:pStyle w:val="ListParagraph"/>
        <w:numPr>
          <w:ilvl w:val="0"/>
          <w:numId w:val="2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submitted budget is accurate and reasonable.</w:t>
      </w:r>
    </w:p>
    <w:p w14:paraId="4AEED3B6" w14:textId="77777777" w:rsidR="0092562B" w:rsidRPr="00DC2AB0" w:rsidRDefault="0092562B" w:rsidP="00A45FD9">
      <w:pPr>
        <w:spacing w:after="0" w:line="240" w:lineRule="auto"/>
        <w:ind w:left="720"/>
        <w:jc w:val="both"/>
        <w:rPr>
          <w:rFonts w:ascii="Times New Roman" w:eastAsia="Times New Roman" w:hAnsi="Times New Roman" w:cs="Times New Roman"/>
          <w:sz w:val="24"/>
          <w:szCs w:val="24"/>
        </w:rPr>
      </w:pPr>
    </w:p>
    <w:p w14:paraId="473CDA96" w14:textId="77777777" w:rsidR="0092562B" w:rsidRPr="00DC2AB0" w:rsidRDefault="0092562B" w:rsidP="00A45FD9">
      <w:pPr>
        <w:spacing w:after="0" w:line="240" w:lineRule="auto"/>
        <w:ind w:left="720"/>
        <w:jc w:val="both"/>
        <w:rPr>
          <w:rFonts w:ascii="Times New Roman" w:eastAsia="Times New Roman" w:hAnsi="Times New Roman" w:cs="Times New Roman"/>
          <w:i/>
          <w:sz w:val="24"/>
          <w:szCs w:val="24"/>
        </w:rPr>
      </w:pPr>
      <w:r w:rsidRPr="00DC2AB0">
        <w:rPr>
          <w:rFonts w:ascii="Times New Roman" w:eastAsia="Times New Roman" w:hAnsi="Times New Roman" w:cs="Times New Roman"/>
          <w:i/>
          <w:sz w:val="24"/>
          <w:szCs w:val="24"/>
        </w:rPr>
        <w:t>Project Impact</w:t>
      </w:r>
      <w:r w:rsidR="004C756C" w:rsidRPr="00DC2AB0">
        <w:rPr>
          <w:rFonts w:ascii="Times New Roman" w:eastAsia="Times New Roman" w:hAnsi="Times New Roman" w:cs="Times New Roman"/>
          <w:i/>
          <w:sz w:val="24"/>
          <w:szCs w:val="24"/>
        </w:rPr>
        <w:t xml:space="preserve"> (20%)</w:t>
      </w:r>
    </w:p>
    <w:p w14:paraId="049A94CC" w14:textId="77777777" w:rsidR="0092562B" w:rsidRPr="00DC2AB0" w:rsidRDefault="0092562B" w:rsidP="00A45FD9">
      <w:pPr>
        <w:pStyle w:val="ListParagraph"/>
        <w:numPr>
          <w:ilvl w:val="0"/>
          <w:numId w:val="30"/>
        </w:numPr>
        <w:spacing w:after="0" w:line="240" w:lineRule="auto"/>
        <w:jc w:val="both"/>
        <w:rPr>
          <w:rFonts w:ascii="Times New Roman" w:eastAsia="Times New Roman" w:hAnsi="Times New Roman" w:cs="Times New Roman"/>
          <w:sz w:val="24"/>
          <w:szCs w:val="24"/>
        </w:rPr>
      </w:pPr>
      <w:r w:rsidRPr="00DC2AB0">
        <w:rPr>
          <w:rFonts w:ascii="Times New Roman" w:eastAsia="Times New Roman" w:hAnsi="Times New Roman" w:cs="Times New Roman"/>
          <w:sz w:val="24"/>
          <w:szCs w:val="24"/>
        </w:rPr>
        <w:t>Expected outcomes</w:t>
      </w:r>
      <w:r w:rsidR="0024749A" w:rsidRPr="00DC2AB0">
        <w:rPr>
          <w:rFonts w:ascii="Times New Roman" w:eastAsia="Times New Roman" w:hAnsi="Times New Roman" w:cs="Times New Roman"/>
          <w:sz w:val="24"/>
          <w:szCs w:val="24"/>
        </w:rPr>
        <w:t xml:space="preserve"> are well-defined, measureable, reasonable, and relate to the identified activities and objectives.</w:t>
      </w:r>
    </w:p>
    <w:p w14:paraId="394B0397" w14:textId="7D59EB29" w:rsidR="00805FC8" w:rsidRPr="00DC2AB0" w:rsidRDefault="00805FC8" w:rsidP="00A45FD9">
      <w:pPr>
        <w:pStyle w:val="ListParagraph"/>
        <w:numPr>
          <w:ilvl w:val="0"/>
          <w:numId w:val="30"/>
        </w:numPr>
        <w:spacing w:after="0" w:line="240" w:lineRule="auto"/>
        <w:jc w:val="both"/>
        <w:rPr>
          <w:rFonts w:ascii="Times New Roman" w:eastAsia="Times New Roman" w:hAnsi="Times New Roman" w:cs="Times New Roman"/>
          <w:sz w:val="24"/>
          <w:szCs w:val="24"/>
        </w:rPr>
      </w:pPr>
      <w:r w:rsidRPr="00DC2AB0">
        <w:rPr>
          <w:rFonts w:ascii="Times New Roman" w:eastAsia="Times New Roman" w:hAnsi="Times New Roman" w:cs="Times New Roman"/>
          <w:sz w:val="24"/>
          <w:szCs w:val="24"/>
        </w:rPr>
        <w:t xml:space="preserve">The innovative approach and potential impact on CTE development in the Illinois. </w:t>
      </w:r>
      <w:r w:rsidR="0024749A" w:rsidRPr="00DC2AB0">
        <w:rPr>
          <w:rFonts w:ascii="Times New Roman" w:eastAsia="Times New Roman" w:hAnsi="Times New Roman" w:cs="Times New Roman"/>
          <w:sz w:val="24"/>
          <w:szCs w:val="24"/>
        </w:rPr>
        <w:t xml:space="preserve"> There is a clear vision for scalability and replicability in the future</w:t>
      </w:r>
      <w:r w:rsidR="00A54BC4">
        <w:rPr>
          <w:rFonts w:ascii="Times New Roman" w:eastAsia="Times New Roman" w:hAnsi="Times New Roman" w:cs="Times New Roman"/>
          <w:sz w:val="24"/>
          <w:szCs w:val="24"/>
        </w:rPr>
        <w:t>, where appropriate</w:t>
      </w:r>
      <w:r w:rsidR="0024749A" w:rsidRPr="00DC2AB0">
        <w:rPr>
          <w:rFonts w:ascii="Times New Roman" w:eastAsia="Times New Roman" w:hAnsi="Times New Roman" w:cs="Times New Roman"/>
          <w:sz w:val="24"/>
          <w:szCs w:val="24"/>
        </w:rPr>
        <w:t>.</w:t>
      </w:r>
    </w:p>
    <w:p w14:paraId="0DD59B83" w14:textId="77777777" w:rsidR="0024749A" w:rsidRPr="00DC2AB0" w:rsidRDefault="0024749A" w:rsidP="00A45FD9">
      <w:pPr>
        <w:spacing w:after="0" w:line="240" w:lineRule="auto"/>
        <w:ind w:left="720"/>
        <w:jc w:val="both"/>
        <w:rPr>
          <w:rFonts w:ascii="Times New Roman" w:eastAsia="Times New Roman" w:hAnsi="Times New Roman" w:cs="Times New Roman"/>
          <w:sz w:val="24"/>
          <w:szCs w:val="24"/>
        </w:rPr>
      </w:pPr>
    </w:p>
    <w:p w14:paraId="56BBBA65" w14:textId="77777777" w:rsidR="0024749A" w:rsidRPr="00DC2AB0" w:rsidRDefault="004C756C" w:rsidP="00A45FD9">
      <w:pPr>
        <w:spacing w:after="0" w:line="240" w:lineRule="auto"/>
        <w:ind w:left="720"/>
        <w:jc w:val="both"/>
        <w:rPr>
          <w:rFonts w:ascii="Times New Roman" w:eastAsia="Times New Roman" w:hAnsi="Times New Roman" w:cs="Times New Roman"/>
          <w:i/>
          <w:sz w:val="24"/>
          <w:szCs w:val="24"/>
        </w:rPr>
      </w:pPr>
      <w:r w:rsidRPr="00DC2AB0">
        <w:rPr>
          <w:rFonts w:ascii="Times New Roman" w:eastAsia="Times New Roman" w:hAnsi="Times New Roman" w:cs="Times New Roman"/>
          <w:i/>
          <w:sz w:val="24"/>
          <w:szCs w:val="24"/>
        </w:rPr>
        <w:t>Project Capacity and Sustainability (20%)</w:t>
      </w:r>
    </w:p>
    <w:p w14:paraId="12EF2EA4" w14:textId="74657425" w:rsidR="008C2A1C" w:rsidRPr="002C23A9" w:rsidRDefault="004C756C" w:rsidP="002C23A9">
      <w:pPr>
        <w:pStyle w:val="ListParagraph"/>
        <w:numPr>
          <w:ilvl w:val="0"/>
          <w:numId w:val="34"/>
        </w:numPr>
        <w:spacing w:after="0" w:line="240" w:lineRule="auto"/>
        <w:jc w:val="both"/>
        <w:rPr>
          <w:rFonts w:ascii="Times New Roman" w:eastAsia="Times New Roman" w:hAnsi="Times New Roman" w:cs="Times New Roman"/>
          <w:sz w:val="24"/>
          <w:szCs w:val="24"/>
        </w:rPr>
      </w:pPr>
      <w:r w:rsidRPr="00DC2AB0">
        <w:rPr>
          <w:rFonts w:ascii="Times New Roman" w:eastAsia="Times New Roman" w:hAnsi="Times New Roman" w:cs="Times New Roman"/>
          <w:sz w:val="24"/>
          <w:szCs w:val="24"/>
        </w:rPr>
        <w:t>The applicant has documented that it has the institutional capacity to effectively im</w:t>
      </w:r>
      <w:r w:rsidR="00A54BC4">
        <w:rPr>
          <w:rFonts w:ascii="Times New Roman" w:eastAsia="Times New Roman" w:hAnsi="Times New Roman" w:cs="Times New Roman"/>
          <w:sz w:val="24"/>
          <w:szCs w:val="24"/>
        </w:rPr>
        <w:t>plement and sustain the project.</w:t>
      </w:r>
    </w:p>
    <w:p w14:paraId="4865AB68" w14:textId="0D275B90" w:rsidR="0024749A" w:rsidRDefault="004C756C" w:rsidP="00A45FD9">
      <w:pPr>
        <w:pStyle w:val="ListParagraph"/>
        <w:numPr>
          <w:ilvl w:val="0"/>
          <w:numId w:val="34"/>
        </w:numPr>
        <w:spacing w:after="0" w:line="240" w:lineRule="auto"/>
        <w:jc w:val="both"/>
        <w:rPr>
          <w:rFonts w:ascii="Times New Roman" w:eastAsia="Times New Roman" w:hAnsi="Times New Roman" w:cs="Times New Roman"/>
          <w:sz w:val="24"/>
          <w:szCs w:val="24"/>
        </w:rPr>
      </w:pPr>
      <w:r w:rsidRPr="00DC2AB0">
        <w:rPr>
          <w:rFonts w:ascii="Times New Roman" w:eastAsia="Times New Roman" w:hAnsi="Times New Roman" w:cs="Times New Roman"/>
          <w:sz w:val="24"/>
          <w:szCs w:val="24"/>
        </w:rPr>
        <w:t>A sustainability plan is detailed and feasible, including specific mention of the utilization of monetary resources.</w:t>
      </w:r>
    </w:p>
    <w:p w14:paraId="39F04E3F" w14:textId="384DD597" w:rsidR="002C23A9" w:rsidRPr="002C23A9" w:rsidRDefault="00A54BC4" w:rsidP="002C23A9">
      <w:pPr>
        <w:pStyle w:val="ListParagraph"/>
        <w:numPr>
          <w:ilvl w:val="0"/>
          <w:numId w:val="3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Considerations will be taken into account for grant recipients who have </w:t>
      </w:r>
      <w:r w:rsidR="002C23A9" w:rsidRPr="00DC2AB0">
        <w:rPr>
          <w:rFonts w:ascii="Times New Roman" w:eastAsia="Times New Roman" w:hAnsi="Times New Roman" w:cs="Times New Roman"/>
          <w:sz w:val="24"/>
          <w:szCs w:val="24"/>
        </w:rPr>
        <w:t>previous</w:t>
      </w:r>
      <w:r>
        <w:rPr>
          <w:rFonts w:ascii="Times New Roman" w:eastAsia="Times New Roman" w:hAnsi="Times New Roman" w:cs="Times New Roman"/>
          <w:sz w:val="24"/>
          <w:szCs w:val="24"/>
        </w:rPr>
        <w:t>ly received leadership grant funding</w:t>
      </w:r>
      <w:r w:rsidR="002C23A9" w:rsidRPr="00DC2A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which grant deliverables were not met or where significant funds were left unexpended</w:t>
      </w:r>
      <w:r w:rsidR="002C23A9" w:rsidRPr="00DC2AB0">
        <w:rPr>
          <w:rFonts w:ascii="Times New Roman" w:eastAsia="Times New Roman" w:hAnsi="Times New Roman" w:cs="Times New Roman"/>
          <w:sz w:val="24"/>
          <w:szCs w:val="24"/>
        </w:rPr>
        <w:t>.</w:t>
      </w:r>
    </w:p>
    <w:p w14:paraId="7F6DA0E6" w14:textId="77777777" w:rsidR="004D615B" w:rsidRPr="00DC2AB0" w:rsidRDefault="004D615B" w:rsidP="00A45FD9">
      <w:pPr>
        <w:pStyle w:val="ListParagraph"/>
        <w:spacing w:after="0" w:line="240" w:lineRule="auto"/>
        <w:ind w:left="1080"/>
        <w:jc w:val="both"/>
        <w:rPr>
          <w:rFonts w:ascii="Times New Roman" w:eastAsia="Times New Roman" w:hAnsi="Times New Roman" w:cs="Times New Roman"/>
          <w:sz w:val="24"/>
          <w:szCs w:val="24"/>
        </w:rPr>
      </w:pPr>
    </w:p>
    <w:p w14:paraId="2BC29BE1" w14:textId="77777777" w:rsidR="00B7483F" w:rsidRPr="00DC2AB0" w:rsidRDefault="00B7483F" w:rsidP="00A45FD9">
      <w:pPr>
        <w:pStyle w:val="ListParagraph"/>
        <w:numPr>
          <w:ilvl w:val="0"/>
          <w:numId w:val="9"/>
        </w:numPr>
        <w:spacing w:after="0" w:line="240" w:lineRule="auto"/>
        <w:jc w:val="both"/>
        <w:rPr>
          <w:rFonts w:ascii="Times New Roman" w:eastAsia="Times New Roman" w:hAnsi="Times New Roman" w:cs="Times New Roman"/>
          <w:vanish/>
          <w:sz w:val="24"/>
          <w:szCs w:val="24"/>
        </w:rPr>
      </w:pPr>
      <w:r w:rsidRPr="00DC2AB0">
        <w:rPr>
          <w:rFonts w:ascii="Times New Roman" w:eastAsia="Times New Roman" w:hAnsi="Times New Roman" w:cs="Times New Roman"/>
          <w:vanish/>
          <w:sz w:val="24"/>
          <w:szCs w:val="24"/>
        </w:rPr>
        <w:t>Code of Federal Regulations / Title 2 - Grants and Agreements / Vol. 1 / 2014-01-01193</w:t>
      </w:r>
    </w:p>
    <w:p w14:paraId="63E2D82F" w14:textId="77777777" w:rsidR="00CE1437" w:rsidRPr="00DC2AB0" w:rsidRDefault="00B7483F" w:rsidP="00A45FD9">
      <w:pPr>
        <w:spacing w:after="0" w:line="240" w:lineRule="auto"/>
        <w:ind w:left="360" w:firstLine="360"/>
        <w:jc w:val="both"/>
        <w:rPr>
          <w:rFonts w:ascii="Times New Roman" w:eastAsia="Times New Roman" w:hAnsi="Times New Roman" w:cs="Times New Roman"/>
          <w:sz w:val="24"/>
          <w:szCs w:val="24"/>
        </w:rPr>
      </w:pPr>
      <w:r w:rsidRPr="00DC2AB0">
        <w:rPr>
          <w:rFonts w:ascii="Times New Roman" w:eastAsia="Times New Roman" w:hAnsi="Times New Roman" w:cs="Times New Roman"/>
          <w:iCs/>
          <w:sz w:val="24"/>
          <w:szCs w:val="24"/>
          <w:u w:val="single"/>
        </w:rPr>
        <w:t>Revie</w:t>
      </w:r>
      <w:r w:rsidR="00D15F32" w:rsidRPr="00DC2AB0">
        <w:rPr>
          <w:rFonts w:ascii="Times New Roman" w:eastAsia="Times New Roman" w:hAnsi="Times New Roman" w:cs="Times New Roman"/>
          <w:iCs/>
          <w:sz w:val="24"/>
          <w:szCs w:val="24"/>
          <w:u w:val="single"/>
        </w:rPr>
        <w:t>w and Selection Process</w:t>
      </w:r>
      <w:r w:rsidR="00F476EF" w:rsidRPr="00DC2AB0">
        <w:rPr>
          <w:rFonts w:ascii="Times New Roman" w:eastAsia="Times New Roman" w:hAnsi="Times New Roman" w:cs="Times New Roman"/>
          <w:iCs/>
          <w:sz w:val="24"/>
          <w:szCs w:val="24"/>
        </w:rPr>
        <w:t>:</w:t>
      </w:r>
    </w:p>
    <w:p w14:paraId="108C6DED" w14:textId="3F30EB05" w:rsidR="000A64D9" w:rsidRPr="00DC2AB0" w:rsidRDefault="000A64D9" w:rsidP="00A45FD9">
      <w:pPr>
        <w:pStyle w:val="ListParagraph"/>
        <w:spacing w:after="0" w:line="240" w:lineRule="auto"/>
        <w:jc w:val="both"/>
        <w:rPr>
          <w:rFonts w:ascii="Times New Roman" w:eastAsia="Times New Roman" w:hAnsi="Times New Roman" w:cs="Times New Roman"/>
          <w:sz w:val="24"/>
          <w:szCs w:val="24"/>
        </w:rPr>
      </w:pPr>
      <w:r w:rsidRPr="00DC2AB0">
        <w:rPr>
          <w:rFonts w:ascii="Times New Roman" w:eastAsia="Times New Roman" w:hAnsi="Times New Roman" w:cs="Times New Roman"/>
          <w:sz w:val="24"/>
          <w:szCs w:val="24"/>
        </w:rPr>
        <w:t>A team of agency staff will use the criteria listed in this section of the NOFO to review the applications, and will award points accordingly. Decisions to award grants and the funding levels will be determined per application based upon compliance with the requirements of this NOFO and the grant proposal.</w:t>
      </w:r>
      <w:r w:rsidR="00B85AD9" w:rsidRPr="00DC2AB0">
        <w:rPr>
          <w:rFonts w:ascii="Times New Roman" w:eastAsia="Times New Roman" w:hAnsi="Times New Roman" w:cs="Times New Roman"/>
          <w:sz w:val="24"/>
          <w:szCs w:val="24"/>
        </w:rPr>
        <w:t xml:space="preserve"> </w:t>
      </w:r>
      <w:r w:rsidR="00817CA5" w:rsidRPr="00DC2AB0">
        <w:rPr>
          <w:rFonts w:ascii="Times New Roman" w:eastAsia="Times New Roman" w:hAnsi="Times New Roman" w:cs="Times New Roman"/>
          <w:sz w:val="24"/>
          <w:szCs w:val="24"/>
        </w:rPr>
        <w:t xml:space="preserve">The ICCB holds the authority to fund or not fund applications based on the above criteria and applicants may not appeal the ICCB’s </w:t>
      </w:r>
      <w:r w:rsidR="0024749A" w:rsidRPr="00DC2AB0">
        <w:rPr>
          <w:rFonts w:ascii="Times New Roman" w:eastAsia="Times New Roman" w:hAnsi="Times New Roman" w:cs="Times New Roman"/>
          <w:sz w:val="24"/>
          <w:szCs w:val="24"/>
        </w:rPr>
        <w:t xml:space="preserve">final funding </w:t>
      </w:r>
      <w:r w:rsidR="00817CA5" w:rsidRPr="00DC2AB0">
        <w:rPr>
          <w:rFonts w:ascii="Times New Roman" w:eastAsia="Times New Roman" w:hAnsi="Times New Roman" w:cs="Times New Roman"/>
          <w:sz w:val="24"/>
          <w:szCs w:val="24"/>
        </w:rPr>
        <w:t>de</w:t>
      </w:r>
      <w:r w:rsidR="0024749A" w:rsidRPr="00DC2AB0">
        <w:rPr>
          <w:rFonts w:ascii="Times New Roman" w:eastAsia="Times New Roman" w:hAnsi="Times New Roman" w:cs="Times New Roman"/>
          <w:sz w:val="24"/>
          <w:szCs w:val="24"/>
        </w:rPr>
        <w:t>cision</w:t>
      </w:r>
      <w:r w:rsidR="002826B4">
        <w:rPr>
          <w:rFonts w:ascii="Times New Roman" w:eastAsia="Times New Roman" w:hAnsi="Times New Roman" w:cs="Times New Roman"/>
          <w:sz w:val="24"/>
          <w:szCs w:val="24"/>
        </w:rPr>
        <w:t xml:space="preserve"> based on their evaluation score</w:t>
      </w:r>
      <w:r w:rsidR="00817CA5" w:rsidRPr="00DC2AB0">
        <w:rPr>
          <w:rFonts w:ascii="Times New Roman" w:eastAsia="Times New Roman" w:hAnsi="Times New Roman" w:cs="Times New Roman"/>
          <w:sz w:val="24"/>
          <w:szCs w:val="24"/>
        </w:rPr>
        <w:t>.</w:t>
      </w:r>
      <w:r w:rsidR="002826B4">
        <w:rPr>
          <w:rFonts w:ascii="Times New Roman" w:eastAsia="Times New Roman" w:hAnsi="Times New Roman" w:cs="Times New Roman"/>
          <w:sz w:val="24"/>
          <w:szCs w:val="24"/>
        </w:rPr>
        <w:t xml:space="preserve"> Applicants may, however, appeal the evaluation/selection process. This appeals process can be found within the </w:t>
      </w:r>
      <w:hyperlink r:id="rId15" w:history="1">
        <w:r w:rsidR="002826B4" w:rsidRPr="002826B4">
          <w:rPr>
            <w:rStyle w:val="Hyperlink"/>
            <w:rFonts w:ascii="Times New Roman" w:eastAsia="Times New Roman" w:hAnsi="Times New Roman" w:cs="Times New Roman"/>
            <w:sz w:val="24"/>
            <w:szCs w:val="24"/>
          </w:rPr>
          <w:t>Merit Based Review Policy</w:t>
        </w:r>
      </w:hyperlink>
      <w:r w:rsidR="002826B4">
        <w:rPr>
          <w:rFonts w:ascii="Times New Roman" w:eastAsia="Times New Roman" w:hAnsi="Times New Roman" w:cs="Times New Roman"/>
          <w:sz w:val="24"/>
          <w:szCs w:val="24"/>
        </w:rPr>
        <w:t xml:space="preserve"> on pages three and four.</w:t>
      </w:r>
    </w:p>
    <w:p w14:paraId="7661D152" w14:textId="77777777" w:rsidR="000A64D9" w:rsidRPr="00DC2AB0" w:rsidRDefault="000A64D9" w:rsidP="00A45FD9">
      <w:pPr>
        <w:pStyle w:val="ListParagraph"/>
        <w:spacing w:after="0" w:line="240" w:lineRule="auto"/>
        <w:jc w:val="both"/>
        <w:rPr>
          <w:rFonts w:ascii="Times New Roman" w:eastAsia="Times New Roman" w:hAnsi="Times New Roman" w:cs="Times New Roman"/>
          <w:sz w:val="24"/>
          <w:szCs w:val="24"/>
        </w:rPr>
      </w:pPr>
    </w:p>
    <w:p w14:paraId="21A827C8" w14:textId="77777777" w:rsidR="00B7483F" w:rsidRPr="00DC2AB0" w:rsidRDefault="00B85AD9" w:rsidP="00A45FD9">
      <w:pPr>
        <w:pStyle w:val="ListParagraph"/>
        <w:spacing w:after="0" w:line="240" w:lineRule="auto"/>
        <w:jc w:val="both"/>
        <w:rPr>
          <w:rFonts w:ascii="Times New Roman" w:eastAsia="Times New Roman" w:hAnsi="Times New Roman" w:cs="Times New Roman"/>
          <w:i/>
          <w:sz w:val="24"/>
          <w:szCs w:val="24"/>
        </w:rPr>
      </w:pPr>
      <w:r w:rsidRPr="00DC2AB0">
        <w:rPr>
          <w:rFonts w:ascii="Times New Roman" w:eastAsia="Times New Roman" w:hAnsi="Times New Roman" w:cs="Times New Roman"/>
          <w:b/>
          <w:i/>
          <w:sz w:val="24"/>
          <w:szCs w:val="24"/>
        </w:rPr>
        <w:t>Merit Based Review, 2 CFR 200.204</w:t>
      </w:r>
      <w:r w:rsidRPr="00DC2AB0">
        <w:rPr>
          <w:rFonts w:ascii="Times New Roman" w:eastAsia="Times New Roman" w:hAnsi="Times New Roman" w:cs="Times New Roman"/>
          <w:i/>
          <w:sz w:val="24"/>
          <w:szCs w:val="24"/>
        </w:rPr>
        <w:t>. For competitive grants unless prohibited by Federal statute, the Federal awarding agency must design and execute a merit review process for applications. This process must be described or incorporated by reference in the applicable funding opportunity (see Appendix I to this part, Full text of the Funding Opportunity.) See also Section 200.203 Notices of funding opportunities. An appeals process must be described and incorporated with the merit based review process.</w:t>
      </w:r>
      <w:r w:rsidR="00B7483F" w:rsidRPr="00DC2AB0">
        <w:rPr>
          <w:rFonts w:ascii="Times New Roman" w:eastAsia="Times New Roman" w:hAnsi="Times New Roman" w:cs="Times New Roman"/>
          <w:i/>
          <w:sz w:val="24"/>
          <w:szCs w:val="24"/>
        </w:rPr>
        <w:t xml:space="preserve"> </w:t>
      </w:r>
    </w:p>
    <w:p w14:paraId="4B0AFA33" w14:textId="77777777" w:rsidR="00B7483F" w:rsidRPr="00DC2AB0" w:rsidRDefault="00B7483F" w:rsidP="00A45FD9">
      <w:pPr>
        <w:spacing w:after="0" w:line="240" w:lineRule="auto"/>
        <w:jc w:val="both"/>
        <w:rPr>
          <w:rFonts w:ascii="Times New Roman" w:eastAsia="Times New Roman" w:hAnsi="Times New Roman" w:cs="Times New Roman"/>
          <w:sz w:val="24"/>
          <w:szCs w:val="24"/>
        </w:rPr>
      </w:pPr>
    </w:p>
    <w:p w14:paraId="7F2D487F" w14:textId="77777777" w:rsidR="00B7483F" w:rsidRPr="00DC2AB0" w:rsidRDefault="00B7483F" w:rsidP="00A45FD9">
      <w:pPr>
        <w:spacing w:after="0" w:line="240" w:lineRule="auto"/>
        <w:jc w:val="both"/>
        <w:rPr>
          <w:rFonts w:ascii="Times New Roman" w:eastAsia="Times New Roman" w:hAnsi="Times New Roman" w:cs="Times New Roman"/>
          <w:b/>
          <w:sz w:val="24"/>
          <w:szCs w:val="24"/>
        </w:rPr>
      </w:pPr>
      <w:r w:rsidRPr="00DC2AB0">
        <w:rPr>
          <w:rFonts w:ascii="Times New Roman" w:eastAsia="Times New Roman" w:hAnsi="Times New Roman" w:cs="Times New Roman"/>
          <w:b/>
          <w:sz w:val="24"/>
          <w:szCs w:val="24"/>
        </w:rPr>
        <w:t>F</w:t>
      </w:r>
      <w:r w:rsidR="00C4062E" w:rsidRPr="00DC2AB0">
        <w:rPr>
          <w:rFonts w:ascii="Times New Roman" w:eastAsia="Times New Roman" w:hAnsi="Times New Roman" w:cs="Times New Roman"/>
          <w:b/>
          <w:sz w:val="24"/>
          <w:szCs w:val="24"/>
        </w:rPr>
        <w:t>.</w:t>
      </w:r>
      <w:r w:rsidRPr="00DC2AB0">
        <w:rPr>
          <w:rFonts w:ascii="Times New Roman" w:eastAsia="Times New Roman" w:hAnsi="Times New Roman" w:cs="Times New Roman"/>
          <w:b/>
          <w:sz w:val="24"/>
          <w:szCs w:val="24"/>
        </w:rPr>
        <w:t xml:space="preserve"> Award Administration Information</w:t>
      </w:r>
    </w:p>
    <w:p w14:paraId="07432567" w14:textId="77777777" w:rsidR="00CE2C25" w:rsidRPr="00DC2AB0" w:rsidRDefault="00CE2C25" w:rsidP="00A45FD9">
      <w:pPr>
        <w:spacing w:after="0" w:line="240" w:lineRule="auto"/>
        <w:ind w:firstLine="720"/>
        <w:jc w:val="both"/>
        <w:rPr>
          <w:rFonts w:ascii="Times New Roman" w:eastAsia="Times New Roman" w:hAnsi="Times New Roman" w:cs="Times New Roman"/>
          <w:b/>
          <w:sz w:val="24"/>
          <w:szCs w:val="24"/>
        </w:rPr>
      </w:pPr>
    </w:p>
    <w:p w14:paraId="35FE9E3C" w14:textId="77777777" w:rsidR="00B85AD9" w:rsidRPr="00DC2AB0" w:rsidRDefault="005C103E" w:rsidP="00A45FD9">
      <w:pPr>
        <w:spacing w:after="0" w:line="240" w:lineRule="auto"/>
        <w:ind w:firstLine="720"/>
        <w:jc w:val="both"/>
        <w:rPr>
          <w:rFonts w:ascii="Times New Roman" w:eastAsia="Times New Roman" w:hAnsi="Times New Roman" w:cs="Times New Roman"/>
          <w:sz w:val="24"/>
          <w:szCs w:val="24"/>
        </w:rPr>
      </w:pPr>
      <w:r w:rsidRPr="00DC2AB0">
        <w:rPr>
          <w:rFonts w:ascii="Times New Roman" w:eastAsia="Times New Roman" w:hAnsi="Times New Roman" w:cs="Times New Roman"/>
          <w:iCs/>
          <w:sz w:val="24"/>
          <w:szCs w:val="24"/>
          <w:u w:val="single"/>
        </w:rPr>
        <w:t>State</w:t>
      </w:r>
      <w:r w:rsidR="00D15F32" w:rsidRPr="00DC2AB0">
        <w:rPr>
          <w:rFonts w:ascii="Times New Roman" w:eastAsia="Times New Roman" w:hAnsi="Times New Roman" w:cs="Times New Roman"/>
          <w:iCs/>
          <w:sz w:val="24"/>
          <w:szCs w:val="24"/>
          <w:u w:val="single"/>
        </w:rPr>
        <w:t xml:space="preserve"> Award Notices</w:t>
      </w:r>
      <w:r w:rsidR="00B85AD9" w:rsidRPr="00DC2AB0">
        <w:rPr>
          <w:rFonts w:ascii="Times New Roman" w:eastAsia="Times New Roman" w:hAnsi="Times New Roman" w:cs="Times New Roman"/>
          <w:sz w:val="24"/>
          <w:szCs w:val="24"/>
        </w:rPr>
        <w:t>:</w:t>
      </w:r>
      <w:r w:rsidR="00B7483F" w:rsidRPr="00DC2AB0">
        <w:rPr>
          <w:rFonts w:ascii="Times New Roman" w:eastAsia="Times New Roman" w:hAnsi="Times New Roman" w:cs="Times New Roman"/>
          <w:sz w:val="24"/>
          <w:szCs w:val="24"/>
        </w:rPr>
        <w:t xml:space="preserve"> </w:t>
      </w:r>
    </w:p>
    <w:p w14:paraId="04093805" w14:textId="063002DB" w:rsidR="00211B8D" w:rsidRPr="00DC2AB0" w:rsidRDefault="00211B8D" w:rsidP="00A45FD9">
      <w:pPr>
        <w:pStyle w:val="ListParagraph"/>
        <w:tabs>
          <w:tab w:val="left" w:pos="720"/>
        </w:tabs>
        <w:spacing w:after="0" w:line="240" w:lineRule="auto"/>
        <w:jc w:val="both"/>
        <w:rPr>
          <w:rFonts w:ascii="Times New Roman" w:eastAsia="Times New Roman" w:hAnsi="Times New Roman" w:cs="Times New Roman"/>
          <w:sz w:val="24"/>
          <w:szCs w:val="24"/>
        </w:rPr>
      </w:pPr>
      <w:r w:rsidRPr="00DC2AB0">
        <w:rPr>
          <w:rFonts w:ascii="Times New Roman" w:eastAsia="Times New Roman" w:hAnsi="Times New Roman" w:cs="Times New Roman"/>
          <w:sz w:val="24"/>
          <w:szCs w:val="24"/>
        </w:rPr>
        <w:t xml:space="preserve">Successful applicants will be notified in writing by the ICCB (note that this notification is not an authorization to begin performance). Subsequently, a Notice of State Award </w:t>
      </w:r>
      <w:r w:rsidRPr="00DC2AB0">
        <w:rPr>
          <w:rFonts w:ascii="Times New Roman" w:eastAsia="Times New Roman" w:hAnsi="Times New Roman" w:cs="Times New Roman"/>
          <w:sz w:val="24"/>
          <w:szCs w:val="24"/>
        </w:rPr>
        <w:lastRenderedPageBreak/>
        <w:t>(NOSA) will be distributed by the ICCB prior to the issuance of a grant agreement. The NOSA will specify terms and conditions added to the award based on the results of the fiscal and administrative internal control questionnaire and the programmatic risk assessment. All components as relayed above will be provided electronically to the email address provided by the recipient in the grant proposal.</w:t>
      </w:r>
      <w:r w:rsidR="00817CA5" w:rsidRPr="00DC2AB0">
        <w:rPr>
          <w:rFonts w:ascii="Times New Roman" w:eastAsia="Times New Roman" w:hAnsi="Times New Roman" w:cs="Times New Roman"/>
          <w:sz w:val="24"/>
          <w:szCs w:val="24"/>
        </w:rPr>
        <w:t xml:space="preserve"> All applicants, funded or not funded, will be notified by </w:t>
      </w:r>
      <w:r w:rsidR="00A54BC4">
        <w:rPr>
          <w:rFonts w:ascii="Times New Roman" w:eastAsia="Times New Roman" w:hAnsi="Times New Roman" w:cs="Times New Roman"/>
          <w:sz w:val="24"/>
          <w:szCs w:val="24"/>
        </w:rPr>
        <w:t>December 15, 2018</w:t>
      </w:r>
      <w:r w:rsidR="00817CA5" w:rsidRPr="00DC2AB0">
        <w:rPr>
          <w:rFonts w:ascii="Times New Roman" w:eastAsia="Times New Roman" w:hAnsi="Times New Roman" w:cs="Times New Roman"/>
          <w:sz w:val="24"/>
          <w:szCs w:val="24"/>
        </w:rPr>
        <w:t>.</w:t>
      </w:r>
    </w:p>
    <w:p w14:paraId="70B6D195" w14:textId="77777777" w:rsidR="00B7483F" w:rsidRPr="00DC2AB0" w:rsidRDefault="00B7483F" w:rsidP="00A45FD9">
      <w:pPr>
        <w:spacing w:after="0" w:line="240" w:lineRule="auto"/>
        <w:jc w:val="both"/>
        <w:rPr>
          <w:rFonts w:ascii="Times New Roman" w:eastAsia="Times New Roman" w:hAnsi="Times New Roman" w:cs="Times New Roman"/>
          <w:sz w:val="24"/>
          <w:szCs w:val="24"/>
        </w:rPr>
      </w:pPr>
    </w:p>
    <w:p w14:paraId="3093430E" w14:textId="77777777" w:rsidR="00B85AD9" w:rsidRPr="00DC2AB0" w:rsidRDefault="00817CA5" w:rsidP="00A45FD9">
      <w:pPr>
        <w:pStyle w:val="ListParagraph"/>
        <w:tabs>
          <w:tab w:val="left" w:pos="720"/>
        </w:tabs>
        <w:spacing w:after="0" w:line="240" w:lineRule="auto"/>
        <w:jc w:val="both"/>
        <w:rPr>
          <w:rFonts w:ascii="Times New Roman" w:eastAsia="Times New Roman" w:hAnsi="Times New Roman" w:cs="Times New Roman"/>
          <w:sz w:val="24"/>
          <w:szCs w:val="24"/>
        </w:rPr>
      </w:pPr>
      <w:r w:rsidRPr="00DC2AB0">
        <w:rPr>
          <w:rFonts w:ascii="Times New Roman" w:eastAsia="Times New Roman" w:hAnsi="Times New Roman" w:cs="Times New Roman"/>
          <w:iCs/>
          <w:sz w:val="24"/>
          <w:szCs w:val="24"/>
          <w:u w:val="single"/>
        </w:rPr>
        <w:t>A</w:t>
      </w:r>
      <w:r w:rsidR="00B7483F" w:rsidRPr="00DC2AB0">
        <w:rPr>
          <w:rFonts w:ascii="Times New Roman" w:eastAsia="Times New Roman" w:hAnsi="Times New Roman" w:cs="Times New Roman"/>
          <w:iCs/>
          <w:sz w:val="24"/>
          <w:szCs w:val="24"/>
          <w:u w:val="single"/>
        </w:rPr>
        <w:t>dministrative and Natio</w:t>
      </w:r>
      <w:r w:rsidR="00D15F32" w:rsidRPr="00DC2AB0">
        <w:rPr>
          <w:rFonts w:ascii="Times New Roman" w:eastAsia="Times New Roman" w:hAnsi="Times New Roman" w:cs="Times New Roman"/>
          <w:iCs/>
          <w:sz w:val="24"/>
          <w:szCs w:val="24"/>
          <w:u w:val="single"/>
        </w:rPr>
        <w:t>nal Policy Requirements</w:t>
      </w:r>
      <w:r w:rsidR="00B85AD9" w:rsidRPr="00DC2AB0">
        <w:rPr>
          <w:rFonts w:ascii="Times New Roman" w:eastAsia="Times New Roman" w:hAnsi="Times New Roman" w:cs="Times New Roman"/>
          <w:sz w:val="24"/>
          <w:szCs w:val="24"/>
        </w:rPr>
        <w:t>:</w:t>
      </w:r>
    </w:p>
    <w:p w14:paraId="1C8048BB" w14:textId="2057E361" w:rsidR="008307C4" w:rsidRDefault="000A64D9" w:rsidP="00A45FD9">
      <w:pPr>
        <w:pStyle w:val="ListParagraph"/>
        <w:tabs>
          <w:tab w:val="left" w:pos="720"/>
        </w:tabs>
        <w:spacing w:after="0" w:line="240" w:lineRule="auto"/>
        <w:jc w:val="both"/>
        <w:rPr>
          <w:rFonts w:ascii="Times New Roman" w:eastAsia="Times New Roman" w:hAnsi="Times New Roman" w:cs="Times New Roman"/>
          <w:sz w:val="24"/>
          <w:szCs w:val="24"/>
        </w:rPr>
      </w:pPr>
      <w:r w:rsidRPr="00DC2AB0">
        <w:rPr>
          <w:rFonts w:ascii="Times New Roman" w:eastAsia="Times New Roman" w:hAnsi="Times New Roman" w:cs="Times New Roman"/>
          <w:sz w:val="24"/>
          <w:szCs w:val="24"/>
        </w:rPr>
        <w:t xml:space="preserve">Refer to Section </w:t>
      </w:r>
      <w:r w:rsidR="00817CA5" w:rsidRPr="00DC2AB0">
        <w:rPr>
          <w:rFonts w:ascii="Times New Roman" w:eastAsia="Times New Roman" w:hAnsi="Times New Roman" w:cs="Times New Roman"/>
          <w:sz w:val="24"/>
          <w:szCs w:val="24"/>
        </w:rPr>
        <w:t>B</w:t>
      </w:r>
      <w:r w:rsidRPr="00DC2AB0">
        <w:rPr>
          <w:rFonts w:ascii="Times New Roman" w:eastAsia="Times New Roman" w:hAnsi="Times New Roman" w:cs="Times New Roman"/>
          <w:sz w:val="24"/>
          <w:szCs w:val="24"/>
        </w:rPr>
        <w:t>,</w:t>
      </w:r>
      <w:r w:rsidR="007D1481" w:rsidRPr="00DC2AB0">
        <w:rPr>
          <w:rFonts w:ascii="Times New Roman" w:eastAsia="Times New Roman" w:hAnsi="Times New Roman" w:cs="Times New Roman"/>
          <w:sz w:val="24"/>
          <w:szCs w:val="24"/>
        </w:rPr>
        <w:t xml:space="preserve"> “</w:t>
      </w:r>
      <w:r w:rsidR="00817CA5" w:rsidRPr="00DC2AB0">
        <w:rPr>
          <w:rFonts w:ascii="Times New Roman" w:eastAsia="Times New Roman" w:hAnsi="Times New Roman" w:cs="Times New Roman"/>
          <w:sz w:val="24"/>
          <w:szCs w:val="24"/>
        </w:rPr>
        <w:t>Funding</w:t>
      </w:r>
      <w:r w:rsidR="007D1481" w:rsidRPr="00DC2AB0">
        <w:rPr>
          <w:rFonts w:ascii="Times New Roman" w:eastAsia="Times New Roman" w:hAnsi="Times New Roman" w:cs="Times New Roman"/>
          <w:sz w:val="24"/>
          <w:szCs w:val="24"/>
        </w:rPr>
        <w:t xml:space="preserve"> Information”,</w:t>
      </w:r>
      <w:r w:rsidRPr="00DC2AB0">
        <w:rPr>
          <w:rFonts w:ascii="Times New Roman" w:eastAsia="Times New Roman" w:hAnsi="Times New Roman" w:cs="Times New Roman"/>
          <w:sz w:val="24"/>
          <w:szCs w:val="24"/>
        </w:rPr>
        <w:t xml:space="preserve"> Indirect Costs for details on indirect rate</w:t>
      </w:r>
      <w:r w:rsidR="007D1481" w:rsidRPr="00DC2AB0">
        <w:rPr>
          <w:rFonts w:ascii="Times New Roman" w:eastAsia="Times New Roman" w:hAnsi="Times New Roman" w:cs="Times New Roman"/>
          <w:sz w:val="24"/>
          <w:szCs w:val="24"/>
        </w:rPr>
        <w:t xml:space="preserve"> requirements and limitations. </w:t>
      </w:r>
    </w:p>
    <w:p w14:paraId="66BAB31D" w14:textId="5EE8B0C4" w:rsidR="0029510E" w:rsidRDefault="0029510E" w:rsidP="00A45FD9">
      <w:pPr>
        <w:pStyle w:val="ListParagraph"/>
        <w:tabs>
          <w:tab w:val="left" w:pos="720"/>
        </w:tabs>
        <w:spacing w:after="0" w:line="240" w:lineRule="auto"/>
        <w:jc w:val="both"/>
        <w:rPr>
          <w:rFonts w:ascii="Times New Roman" w:eastAsia="Times New Roman" w:hAnsi="Times New Roman" w:cs="Times New Roman"/>
          <w:sz w:val="24"/>
          <w:szCs w:val="24"/>
        </w:rPr>
      </w:pPr>
    </w:p>
    <w:p w14:paraId="54B5084F" w14:textId="77777777" w:rsidR="0029510E" w:rsidRPr="00DC2AB0" w:rsidRDefault="0029510E" w:rsidP="0029510E">
      <w:pPr>
        <w:pStyle w:val="ListParagraph"/>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u w:val="single"/>
        </w:rPr>
        <w:t>Required Programmatic and Financial Reporting</w:t>
      </w:r>
      <w:r w:rsidRPr="00DC2AB0">
        <w:rPr>
          <w:rFonts w:ascii="Times New Roman" w:eastAsia="Times New Roman" w:hAnsi="Times New Roman" w:cs="Times New Roman"/>
          <w:sz w:val="24"/>
          <w:szCs w:val="24"/>
        </w:rPr>
        <w:t>:</w:t>
      </w:r>
    </w:p>
    <w:p w14:paraId="1FD23901" w14:textId="400C9FA8" w:rsidR="0029510E" w:rsidRPr="00DC2AB0" w:rsidRDefault="0029510E" w:rsidP="0029510E">
      <w:pPr>
        <w:pStyle w:val="ListParagraph"/>
        <w:tabs>
          <w:tab w:val="left" w:pos="720"/>
        </w:tabs>
        <w:spacing w:after="0" w:line="240" w:lineRule="auto"/>
        <w:jc w:val="both"/>
        <w:rPr>
          <w:rFonts w:ascii="Times New Roman" w:eastAsia="Times New Roman" w:hAnsi="Times New Roman" w:cs="Times New Roman"/>
          <w:sz w:val="24"/>
          <w:szCs w:val="24"/>
        </w:rPr>
      </w:pPr>
      <w:r w:rsidRPr="005F4B08">
        <w:rPr>
          <w:rFonts w:ascii="Times New Roman" w:eastAsia="Times New Roman" w:hAnsi="Times New Roman" w:cs="Times New Roman"/>
          <w:sz w:val="24"/>
          <w:szCs w:val="24"/>
        </w:rPr>
        <w:t>Recipients are required to submit quarterly programmatic and expenditure reports</w:t>
      </w:r>
      <w:r>
        <w:rPr>
          <w:rFonts w:ascii="Times New Roman" w:eastAsia="Times New Roman" w:hAnsi="Times New Roman" w:cs="Times New Roman"/>
          <w:sz w:val="24"/>
          <w:szCs w:val="24"/>
        </w:rPr>
        <w:t xml:space="preserve"> to </w:t>
      </w:r>
      <w:hyperlink r:id="rId16" w:history="1">
        <w:r w:rsidRPr="00D5154E">
          <w:rPr>
            <w:rStyle w:val="Hyperlink"/>
            <w:rFonts w:ascii="Times New Roman" w:eastAsia="Times New Roman" w:hAnsi="Times New Roman" w:cs="Times New Roman"/>
            <w:sz w:val="24"/>
            <w:szCs w:val="24"/>
          </w:rPr>
          <w:t>cte@iccb.state.il.us</w:t>
        </w:r>
      </w:hyperlink>
      <w:r>
        <w:rPr>
          <w:rFonts w:ascii="Times New Roman" w:eastAsia="Times New Roman" w:hAnsi="Times New Roman" w:cs="Times New Roman"/>
          <w:sz w:val="24"/>
          <w:szCs w:val="24"/>
        </w:rPr>
        <w:t>.</w:t>
      </w:r>
      <w:r w:rsidRPr="005F4B08">
        <w:rPr>
          <w:rFonts w:ascii="Times New Roman" w:eastAsia="Times New Roman" w:hAnsi="Times New Roman" w:cs="Times New Roman"/>
          <w:sz w:val="24"/>
          <w:szCs w:val="24"/>
        </w:rPr>
        <w:t xml:space="preserve"> The reporting schedule is </w:t>
      </w:r>
      <w:r>
        <w:rPr>
          <w:rFonts w:ascii="Times New Roman" w:eastAsia="Times New Roman" w:hAnsi="Times New Roman" w:cs="Times New Roman"/>
          <w:sz w:val="24"/>
          <w:szCs w:val="24"/>
        </w:rPr>
        <w:t>detailed</w:t>
      </w:r>
      <w:r w:rsidRPr="005F4B08">
        <w:rPr>
          <w:rFonts w:ascii="Times New Roman" w:eastAsia="Times New Roman" w:hAnsi="Times New Roman" w:cs="Times New Roman"/>
          <w:sz w:val="24"/>
          <w:szCs w:val="24"/>
        </w:rPr>
        <w:t xml:space="preserve"> below. </w:t>
      </w:r>
      <w:r>
        <w:rPr>
          <w:rFonts w:ascii="Times New Roman" w:eastAsia="Times New Roman" w:hAnsi="Times New Roman" w:cs="Times New Roman"/>
          <w:sz w:val="24"/>
          <w:szCs w:val="24"/>
        </w:rPr>
        <w:t>Reporting templates and other instructions will be made available to grant recipients at a later date.</w:t>
      </w:r>
    </w:p>
    <w:p w14:paraId="0072DCD8" w14:textId="77777777" w:rsidR="00B7483F" w:rsidRPr="00DC2AB0" w:rsidRDefault="00B7483F" w:rsidP="00A45FD9">
      <w:pPr>
        <w:pStyle w:val="ListParagraph"/>
        <w:spacing w:after="0" w:line="240" w:lineRule="auto"/>
        <w:ind w:left="810"/>
        <w:jc w:val="both"/>
        <w:rPr>
          <w:rFonts w:ascii="Times New Roman" w:eastAsia="Times New Roman" w:hAnsi="Times New Roman" w:cs="Times New Roman"/>
          <w:sz w:val="24"/>
          <w:szCs w:val="24"/>
        </w:rPr>
      </w:pPr>
      <w:r w:rsidRPr="00DC2AB0">
        <w:rPr>
          <w:rFonts w:ascii="Times New Roman" w:eastAsia="Times New Roman" w:hAnsi="Times New Roman" w:cs="Times New Roman"/>
          <w:vanish/>
          <w:sz w:val="24"/>
          <w:szCs w:val="24"/>
        </w:rPr>
        <w:t>Code of Federal Regulations / Title 2 - Grants and Agreements / Vol. 1 / 2014-01-01194</w:t>
      </w:r>
    </w:p>
    <w:tbl>
      <w:tblPr>
        <w:tblStyle w:val="LightShading"/>
        <w:tblW w:w="0" w:type="auto"/>
        <w:tblLook w:val="04A0" w:firstRow="1" w:lastRow="0" w:firstColumn="1" w:lastColumn="0" w:noHBand="0" w:noVBand="1"/>
      </w:tblPr>
      <w:tblGrid>
        <w:gridCol w:w="1486"/>
        <w:gridCol w:w="4730"/>
        <w:gridCol w:w="3084"/>
      </w:tblGrid>
      <w:tr w:rsidR="00D2113D" w:rsidRPr="00D2113D" w14:paraId="3FBD1F1B" w14:textId="77777777" w:rsidTr="002951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00" w:type="dxa"/>
            <w:gridSpan w:val="3"/>
            <w:tcBorders>
              <w:top w:val="thinThickSmallGap" w:sz="12" w:space="0" w:color="auto"/>
              <w:left w:val="thinThickSmallGap" w:sz="12" w:space="0" w:color="auto"/>
              <w:bottom w:val="thinThickSmallGap" w:sz="12" w:space="0" w:color="auto"/>
              <w:right w:val="thinThickSmallGap" w:sz="12" w:space="0" w:color="auto"/>
            </w:tcBorders>
            <w:shd w:val="clear" w:color="auto" w:fill="8DB3E2" w:themeFill="text2" w:themeFillTint="66"/>
          </w:tcPr>
          <w:p w14:paraId="19251C58" w14:textId="77777777" w:rsidR="00D2113D" w:rsidRPr="00D2113D" w:rsidRDefault="00D2113D" w:rsidP="00D2113D">
            <w:pPr>
              <w:jc w:val="center"/>
              <w:rPr>
                <w:rFonts w:ascii="Times New Roman" w:eastAsiaTheme="minorEastAsia" w:hAnsi="Times New Roman" w:cs="Times New Roman"/>
                <w:sz w:val="28"/>
                <w:szCs w:val="28"/>
              </w:rPr>
            </w:pPr>
            <w:r w:rsidRPr="00D2113D">
              <w:rPr>
                <w:rFonts w:ascii="Times New Roman" w:eastAsiaTheme="minorEastAsia" w:hAnsi="Times New Roman" w:cs="Times New Roman"/>
                <w:sz w:val="28"/>
                <w:szCs w:val="28"/>
              </w:rPr>
              <w:t>FY2018/2019 Reporting Schedule</w:t>
            </w:r>
          </w:p>
        </w:tc>
      </w:tr>
      <w:tr w:rsidR="00D2113D" w:rsidRPr="00D2113D" w14:paraId="7B749CE3" w14:textId="77777777" w:rsidTr="002951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6" w:type="dxa"/>
            <w:tcBorders>
              <w:top w:val="thinThickSmallGap" w:sz="12" w:space="0" w:color="auto"/>
              <w:left w:val="thinThickSmallGap" w:sz="12" w:space="0" w:color="auto"/>
              <w:bottom w:val="single" w:sz="12" w:space="0" w:color="000000" w:themeColor="text1"/>
            </w:tcBorders>
            <w:shd w:val="clear" w:color="auto" w:fill="BFBFBF" w:themeFill="background1" w:themeFillShade="BF"/>
          </w:tcPr>
          <w:p w14:paraId="555F1F0E" w14:textId="77777777" w:rsidR="00D2113D" w:rsidRPr="00D2113D" w:rsidRDefault="00D2113D" w:rsidP="00D2113D">
            <w:pPr>
              <w:rPr>
                <w:rFonts w:ascii="Times New Roman" w:eastAsiaTheme="minorEastAsia" w:hAnsi="Times New Roman" w:cs="Times New Roman"/>
                <w:sz w:val="26"/>
                <w:szCs w:val="26"/>
              </w:rPr>
            </w:pPr>
            <w:r w:rsidRPr="00D2113D">
              <w:rPr>
                <w:rFonts w:ascii="Times New Roman" w:eastAsiaTheme="minorEastAsia" w:hAnsi="Times New Roman" w:cs="Times New Roman"/>
                <w:sz w:val="26"/>
                <w:szCs w:val="26"/>
              </w:rPr>
              <w:t>Quarter</w:t>
            </w:r>
          </w:p>
        </w:tc>
        <w:tc>
          <w:tcPr>
            <w:tcW w:w="4730" w:type="dxa"/>
            <w:tcBorders>
              <w:top w:val="thinThickSmallGap" w:sz="12" w:space="0" w:color="auto"/>
              <w:bottom w:val="single" w:sz="12" w:space="0" w:color="000000" w:themeColor="text1"/>
            </w:tcBorders>
            <w:shd w:val="clear" w:color="auto" w:fill="BFBFBF" w:themeFill="background1" w:themeFillShade="BF"/>
          </w:tcPr>
          <w:p w14:paraId="3D374A88" w14:textId="77777777" w:rsidR="00D2113D" w:rsidRPr="00D2113D" w:rsidRDefault="00D2113D" w:rsidP="00D2113D">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sz w:val="26"/>
                <w:szCs w:val="26"/>
              </w:rPr>
            </w:pPr>
            <w:r w:rsidRPr="00D2113D">
              <w:rPr>
                <w:rFonts w:ascii="Times New Roman" w:eastAsiaTheme="minorEastAsia" w:hAnsi="Times New Roman" w:cs="Times New Roman"/>
                <w:b/>
                <w:sz w:val="26"/>
                <w:szCs w:val="26"/>
              </w:rPr>
              <w:t>Period</w:t>
            </w:r>
          </w:p>
        </w:tc>
        <w:tc>
          <w:tcPr>
            <w:tcW w:w="3084" w:type="dxa"/>
            <w:tcBorders>
              <w:top w:val="thinThickSmallGap" w:sz="12" w:space="0" w:color="auto"/>
              <w:bottom w:val="single" w:sz="12" w:space="0" w:color="000000" w:themeColor="text1"/>
              <w:right w:val="thinThickSmallGap" w:sz="12" w:space="0" w:color="auto"/>
            </w:tcBorders>
            <w:shd w:val="clear" w:color="auto" w:fill="BFBFBF" w:themeFill="background1" w:themeFillShade="BF"/>
          </w:tcPr>
          <w:p w14:paraId="0D331335" w14:textId="77777777" w:rsidR="00D2113D" w:rsidRPr="00D2113D" w:rsidRDefault="00D2113D" w:rsidP="00D2113D">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sz w:val="26"/>
                <w:szCs w:val="26"/>
              </w:rPr>
            </w:pPr>
            <w:r w:rsidRPr="00D2113D">
              <w:rPr>
                <w:rFonts w:ascii="Times New Roman" w:eastAsiaTheme="minorEastAsia" w:hAnsi="Times New Roman" w:cs="Times New Roman"/>
                <w:b/>
                <w:sz w:val="26"/>
                <w:szCs w:val="26"/>
              </w:rPr>
              <w:t xml:space="preserve">Date Due </w:t>
            </w:r>
          </w:p>
        </w:tc>
      </w:tr>
      <w:tr w:rsidR="00D2113D" w:rsidRPr="00D2113D" w14:paraId="07B9B0C3" w14:textId="77777777" w:rsidTr="0029510E">
        <w:tc>
          <w:tcPr>
            <w:cnfStyle w:val="001000000000" w:firstRow="0" w:lastRow="0" w:firstColumn="1" w:lastColumn="0" w:oddVBand="0" w:evenVBand="0" w:oddHBand="0" w:evenHBand="0" w:firstRowFirstColumn="0" w:firstRowLastColumn="0" w:lastRowFirstColumn="0" w:lastRowLastColumn="0"/>
            <w:tcW w:w="1486" w:type="dxa"/>
            <w:tcBorders>
              <w:top w:val="single" w:sz="12" w:space="0" w:color="000000" w:themeColor="text1"/>
              <w:left w:val="thinThickSmallGap" w:sz="12" w:space="0" w:color="auto"/>
            </w:tcBorders>
          </w:tcPr>
          <w:p w14:paraId="43B398FD" w14:textId="77777777" w:rsidR="00D2113D" w:rsidRPr="00D2113D" w:rsidRDefault="00D2113D" w:rsidP="005F6736">
            <w:pPr>
              <w:jc w:val="center"/>
              <w:rPr>
                <w:rFonts w:ascii="Times New Roman" w:eastAsiaTheme="minorEastAsia" w:hAnsi="Times New Roman" w:cs="Times New Roman"/>
                <w:sz w:val="24"/>
                <w:szCs w:val="24"/>
              </w:rPr>
            </w:pPr>
            <w:r w:rsidRPr="00D2113D">
              <w:rPr>
                <w:rFonts w:ascii="Times New Roman" w:eastAsiaTheme="minorEastAsia" w:hAnsi="Times New Roman" w:cs="Times New Roman"/>
                <w:sz w:val="24"/>
                <w:szCs w:val="24"/>
              </w:rPr>
              <w:t>1</w:t>
            </w:r>
          </w:p>
        </w:tc>
        <w:tc>
          <w:tcPr>
            <w:tcW w:w="4730" w:type="dxa"/>
            <w:tcBorders>
              <w:top w:val="single" w:sz="12" w:space="0" w:color="000000" w:themeColor="text1"/>
            </w:tcBorders>
          </w:tcPr>
          <w:p w14:paraId="5C010ABC" w14:textId="5F01D7E1" w:rsidR="00D2113D" w:rsidRPr="00D2113D" w:rsidRDefault="00D2113D" w:rsidP="00D2113D">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eastAsiaTheme="minorEastAsia" w:hAnsi="Times New Roman" w:cs="Times New Roman"/>
                <w:sz w:val="24"/>
                <w:szCs w:val="24"/>
              </w:rPr>
              <w:t>January 01, 2019</w:t>
            </w:r>
            <w:r w:rsidRPr="00D2113D">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rPr>
              <w:t>March 31, 2019</w:t>
            </w:r>
          </w:p>
        </w:tc>
        <w:tc>
          <w:tcPr>
            <w:tcW w:w="3084" w:type="dxa"/>
            <w:tcBorders>
              <w:top w:val="single" w:sz="12" w:space="0" w:color="000000" w:themeColor="text1"/>
              <w:right w:val="thinThickSmallGap" w:sz="12" w:space="0" w:color="auto"/>
            </w:tcBorders>
          </w:tcPr>
          <w:p w14:paraId="2F05AC8F" w14:textId="7BEDBF5F" w:rsidR="00D2113D" w:rsidRPr="00D2113D" w:rsidRDefault="00D2113D" w:rsidP="00D2113D">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eastAsiaTheme="minorEastAsia" w:hAnsi="Times New Roman" w:cs="Times New Roman"/>
                <w:sz w:val="24"/>
                <w:szCs w:val="24"/>
              </w:rPr>
              <w:t>April 30, 2019</w:t>
            </w:r>
          </w:p>
        </w:tc>
      </w:tr>
      <w:tr w:rsidR="00D2113D" w:rsidRPr="00D2113D" w14:paraId="67709CC1" w14:textId="77777777" w:rsidTr="002951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6" w:type="dxa"/>
            <w:tcBorders>
              <w:left w:val="thinThickSmallGap" w:sz="12" w:space="0" w:color="auto"/>
            </w:tcBorders>
            <w:shd w:val="clear" w:color="auto" w:fill="D9D9D9" w:themeFill="background1" w:themeFillShade="D9"/>
          </w:tcPr>
          <w:p w14:paraId="79BECEE6" w14:textId="77777777" w:rsidR="00D2113D" w:rsidRPr="00D2113D" w:rsidRDefault="00D2113D" w:rsidP="005F6736">
            <w:pPr>
              <w:jc w:val="center"/>
              <w:rPr>
                <w:rFonts w:ascii="Times New Roman" w:eastAsiaTheme="minorEastAsia" w:hAnsi="Times New Roman" w:cs="Times New Roman"/>
                <w:sz w:val="24"/>
                <w:szCs w:val="24"/>
              </w:rPr>
            </w:pPr>
            <w:r w:rsidRPr="00D2113D">
              <w:rPr>
                <w:rFonts w:ascii="Times New Roman" w:eastAsiaTheme="minorEastAsia" w:hAnsi="Times New Roman" w:cs="Times New Roman"/>
                <w:sz w:val="24"/>
                <w:szCs w:val="24"/>
              </w:rPr>
              <w:t>2</w:t>
            </w:r>
          </w:p>
        </w:tc>
        <w:tc>
          <w:tcPr>
            <w:tcW w:w="4730" w:type="dxa"/>
            <w:shd w:val="clear" w:color="auto" w:fill="D9D9D9" w:themeFill="background1" w:themeFillShade="D9"/>
          </w:tcPr>
          <w:p w14:paraId="28145840" w14:textId="2DACAFB1" w:rsidR="00D2113D" w:rsidRPr="00D2113D" w:rsidRDefault="00D2113D" w:rsidP="00D2113D">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eastAsiaTheme="minorEastAsia" w:hAnsi="Times New Roman" w:cs="Times New Roman"/>
                <w:sz w:val="24"/>
                <w:szCs w:val="24"/>
              </w:rPr>
              <w:t>April 01, 2019</w:t>
            </w:r>
            <w:r w:rsidRPr="00D2113D">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rPr>
              <w:t>June 30, 2019</w:t>
            </w:r>
          </w:p>
        </w:tc>
        <w:tc>
          <w:tcPr>
            <w:tcW w:w="3084" w:type="dxa"/>
            <w:tcBorders>
              <w:right w:val="thinThickSmallGap" w:sz="12" w:space="0" w:color="auto"/>
            </w:tcBorders>
            <w:shd w:val="clear" w:color="auto" w:fill="D9D9D9" w:themeFill="background1" w:themeFillShade="D9"/>
          </w:tcPr>
          <w:p w14:paraId="2F8A4B1E" w14:textId="1508A9BC" w:rsidR="00D2113D" w:rsidRPr="00D2113D" w:rsidRDefault="00D2113D" w:rsidP="00D2113D">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eastAsiaTheme="minorEastAsia" w:hAnsi="Times New Roman" w:cs="Times New Roman"/>
                <w:sz w:val="24"/>
                <w:szCs w:val="24"/>
              </w:rPr>
              <w:t>July 30, 2019</w:t>
            </w:r>
          </w:p>
        </w:tc>
      </w:tr>
      <w:tr w:rsidR="00D2113D" w:rsidRPr="00D2113D" w14:paraId="2A8598CC" w14:textId="77777777" w:rsidTr="0029510E">
        <w:tc>
          <w:tcPr>
            <w:cnfStyle w:val="001000000000" w:firstRow="0" w:lastRow="0" w:firstColumn="1" w:lastColumn="0" w:oddVBand="0" w:evenVBand="0" w:oddHBand="0" w:evenHBand="0" w:firstRowFirstColumn="0" w:firstRowLastColumn="0" w:lastRowFirstColumn="0" w:lastRowLastColumn="0"/>
            <w:tcW w:w="1486" w:type="dxa"/>
            <w:tcBorders>
              <w:left w:val="thinThickSmallGap" w:sz="12" w:space="0" w:color="auto"/>
            </w:tcBorders>
          </w:tcPr>
          <w:p w14:paraId="663A96AA" w14:textId="77777777" w:rsidR="00D2113D" w:rsidRPr="00D2113D" w:rsidRDefault="00D2113D" w:rsidP="005F6736">
            <w:pPr>
              <w:jc w:val="center"/>
              <w:rPr>
                <w:rFonts w:ascii="Times New Roman" w:eastAsiaTheme="minorEastAsia" w:hAnsi="Times New Roman" w:cs="Times New Roman"/>
                <w:sz w:val="24"/>
                <w:szCs w:val="24"/>
              </w:rPr>
            </w:pPr>
            <w:r w:rsidRPr="00D2113D">
              <w:rPr>
                <w:rFonts w:ascii="Times New Roman" w:eastAsiaTheme="minorEastAsia" w:hAnsi="Times New Roman" w:cs="Times New Roman"/>
                <w:sz w:val="24"/>
                <w:szCs w:val="24"/>
              </w:rPr>
              <w:t>3</w:t>
            </w:r>
          </w:p>
        </w:tc>
        <w:tc>
          <w:tcPr>
            <w:tcW w:w="4730" w:type="dxa"/>
          </w:tcPr>
          <w:p w14:paraId="70B2EFF1" w14:textId="5D6CE4DC" w:rsidR="00D2113D" w:rsidRPr="00D2113D" w:rsidRDefault="00D2113D" w:rsidP="00D2113D">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D2113D">
              <w:rPr>
                <w:rFonts w:ascii="Times New Roman" w:eastAsiaTheme="minorEastAsia" w:hAnsi="Times New Roman" w:cs="Times New Roman"/>
                <w:sz w:val="24"/>
                <w:szCs w:val="24"/>
              </w:rPr>
              <w:t>July 01, 201</w:t>
            </w:r>
            <w:r>
              <w:rPr>
                <w:rFonts w:ascii="Times New Roman" w:eastAsiaTheme="minorEastAsia" w:hAnsi="Times New Roman" w:cs="Times New Roman"/>
                <w:sz w:val="24"/>
                <w:szCs w:val="24"/>
              </w:rPr>
              <w:t>9</w:t>
            </w:r>
            <w:r w:rsidRPr="00D2113D">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rPr>
              <w:t>September 30, 2019</w:t>
            </w:r>
          </w:p>
        </w:tc>
        <w:tc>
          <w:tcPr>
            <w:tcW w:w="3084" w:type="dxa"/>
            <w:tcBorders>
              <w:right w:val="thinThickSmallGap" w:sz="12" w:space="0" w:color="auto"/>
            </w:tcBorders>
          </w:tcPr>
          <w:p w14:paraId="1BABD7E1" w14:textId="1EF95C98" w:rsidR="00D2113D" w:rsidRPr="00D2113D" w:rsidRDefault="00D2113D" w:rsidP="00D2113D">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eastAsiaTheme="minorEastAsia" w:hAnsi="Times New Roman" w:cs="Times New Roman"/>
                <w:sz w:val="24"/>
                <w:szCs w:val="24"/>
              </w:rPr>
              <w:t>October 30, 2019</w:t>
            </w:r>
          </w:p>
        </w:tc>
      </w:tr>
      <w:tr w:rsidR="00D2113D" w:rsidRPr="00D2113D" w14:paraId="0687A61D" w14:textId="77777777" w:rsidTr="002951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6" w:type="dxa"/>
            <w:tcBorders>
              <w:left w:val="thinThickSmallGap" w:sz="12" w:space="0" w:color="auto"/>
            </w:tcBorders>
            <w:shd w:val="clear" w:color="auto" w:fill="D9D9D9" w:themeFill="background1" w:themeFillShade="D9"/>
          </w:tcPr>
          <w:p w14:paraId="62439D94" w14:textId="77777777" w:rsidR="00D2113D" w:rsidRPr="00D2113D" w:rsidRDefault="00D2113D" w:rsidP="005F6736">
            <w:pPr>
              <w:jc w:val="center"/>
              <w:rPr>
                <w:rFonts w:ascii="Times New Roman" w:eastAsiaTheme="minorEastAsia" w:hAnsi="Times New Roman" w:cs="Times New Roman"/>
                <w:sz w:val="24"/>
                <w:szCs w:val="24"/>
              </w:rPr>
            </w:pPr>
            <w:r w:rsidRPr="00D2113D">
              <w:rPr>
                <w:rFonts w:ascii="Times New Roman" w:eastAsiaTheme="minorEastAsia" w:hAnsi="Times New Roman" w:cs="Times New Roman"/>
                <w:sz w:val="24"/>
                <w:szCs w:val="24"/>
              </w:rPr>
              <w:t>4</w:t>
            </w:r>
          </w:p>
        </w:tc>
        <w:tc>
          <w:tcPr>
            <w:tcW w:w="4730" w:type="dxa"/>
            <w:shd w:val="clear" w:color="auto" w:fill="D9D9D9" w:themeFill="background1" w:themeFillShade="D9"/>
          </w:tcPr>
          <w:p w14:paraId="57011DF1" w14:textId="04108637" w:rsidR="00D2113D" w:rsidRPr="00D2113D" w:rsidRDefault="00D2113D" w:rsidP="00D2113D">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eastAsiaTheme="minorEastAsia" w:hAnsi="Times New Roman" w:cs="Times New Roman"/>
                <w:sz w:val="24"/>
                <w:szCs w:val="24"/>
              </w:rPr>
              <w:t>October 01, 2019</w:t>
            </w:r>
            <w:r w:rsidRPr="00D2113D">
              <w:rPr>
                <w:rFonts w:ascii="Times New Roman" w:eastAsiaTheme="minorEastAsia" w:hAnsi="Times New Roman" w:cs="Times New Roman"/>
                <w:sz w:val="24"/>
                <w:szCs w:val="24"/>
              </w:rPr>
              <w:t xml:space="preserve"> - December </w:t>
            </w:r>
            <w:r>
              <w:rPr>
                <w:rFonts w:ascii="Times New Roman" w:eastAsiaTheme="minorEastAsia" w:hAnsi="Times New Roman" w:cs="Times New Roman"/>
                <w:sz w:val="24"/>
                <w:szCs w:val="24"/>
              </w:rPr>
              <w:t>31, 2019</w:t>
            </w:r>
          </w:p>
        </w:tc>
        <w:tc>
          <w:tcPr>
            <w:tcW w:w="3084" w:type="dxa"/>
            <w:tcBorders>
              <w:right w:val="thinThickSmallGap" w:sz="12" w:space="0" w:color="auto"/>
            </w:tcBorders>
            <w:shd w:val="clear" w:color="auto" w:fill="D9D9D9" w:themeFill="background1" w:themeFillShade="D9"/>
          </w:tcPr>
          <w:p w14:paraId="60E684F5" w14:textId="7760A34A" w:rsidR="00D2113D" w:rsidRPr="00D2113D" w:rsidRDefault="00D2113D" w:rsidP="00D2113D">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eastAsiaTheme="minorEastAsia" w:hAnsi="Times New Roman" w:cs="Times New Roman"/>
                <w:sz w:val="24"/>
                <w:szCs w:val="24"/>
              </w:rPr>
              <w:t>January 30, 2020</w:t>
            </w:r>
          </w:p>
        </w:tc>
      </w:tr>
      <w:tr w:rsidR="00D2113D" w:rsidRPr="00D2113D" w14:paraId="416032E0" w14:textId="77777777" w:rsidTr="0029510E">
        <w:tc>
          <w:tcPr>
            <w:cnfStyle w:val="001000000000" w:firstRow="0" w:lastRow="0" w:firstColumn="1" w:lastColumn="0" w:oddVBand="0" w:evenVBand="0" w:oddHBand="0" w:evenHBand="0" w:firstRowFirstColumn="0" w:firstRowLastColumn="0" w:lastRowFirstColumn="0" w:lastRowLastColumn="0"/>
            <w:tcW w:w="1486" w:type="dxa"/>
            <w:tcBorders>
              <w:left w:val="thinThickSmallGap" w:sz="12" w:space="0" w:color="auto"/>
            </w:tcBorders>
          </w:tcPr>
          <w:p w14:paraId="1CFC6AB9" w14:textId="77777777" w:rsidR="00D2113D" w:rsidRPr="00D2113D" w:rsidRDefault="00D2113D" w:rsidP="005F6736">
            <w:pPr>
              <w:jc w:val="center"/>
              <w:rPr>
                <w:rFonts w:ascii="Times New Roman" w:eastAsiaTheme="minorEastAsia" w:hAnsi="Times New Roman" w:cs="Times New Roman"/>
                <w:sz w:val="24"/>
                <w:szCs w:val="24"/>
              </w:rPr>
            </w:pPr>
            <w:r w:rsidRPr="00D2113D">
              <w:rPr>
                <w:rFonts w:ascii="Times New Roman" w:eastAsiaTheme="minorEastAsia" w:hAnsi="Times New Roman" w:cs="Times New Roman"/>
                <w:sz w:val="24"/>
                <w:szCs w:val="24"/>
              </w:rPr>
              <w:t>5</w:t>
            </w:r>
          </w:p>
        </w:tc>
        <w:tc>
          <w:tcPr>
            <w:tcW w:w="4730" w:type="dxa"/>
          </w:tcPr>
          <w:p w14:paraId="1A96F9ED" w14:textId="5C23AA55" w:rsidR="00D2113D" w:rsidRPr="00D2113D" w:rsidRDefault="00D2113D" w:rsidP="00D2113D">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eastAsiaTheme="minorEastAsia" w:hAnsi="Times New Roman" w:cs="Times New Roman"/>
                <w:sz w:val="24"/>
                <w:szCs w:val="24"/>
              </w:rPr>
              <w:t>January 01, 2020</w:t>
            </w:r>
            <w:r w:rsidRPr="00D2113D">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rPr>
              <w:t>March 31, 2020</w:t>
            </w:r>
          </w:p>
        </w:tc>
        <w:tc>
          <w:tcPr>
            <w:tcW w:w="3084" w:type="dxa"/>
            <w:tcBorders>
              <w:right w:val="thinThickSmallGap" w:sz="12" w:space="0" w:color="auto"/>
            </w:tcBorders>
          </w:tcPr>
          <w:p w14:paraId="2CFEADD9" w14:textId="67643636" w:rsidR="00D2113D" w:rsidRPr="00D2113D" w:rsidRDefault="00D2113D" w:rsidP="00D2113D">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eastAsiaTheme="minorEastAsia" w:hAnsi="Times New Roman" w:cs="Times New Roman"/>
                <w:sz w:val="24"/>
                <w:szCs w:val="24"/>
              </w:rPr>
              <w:t>April 30, 2020</w:t>
            </w:r>
          </w:p>
        </w:tc>
      </w:tr>
      <w:tr w:rsidR="00D2113D" w:rsidRPr="00D2113D" w14:paraId="79921E80" w14:textId="77777777" w:rsidTr="002951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6" w:type="dxa"/>
            <w:tcBorders>
              <w:left w:val="thinThickSmallGap" w:sz="12" w:space="0" w:color="auto"/>
              <w:bottom w:val="single" w:sz="12" w:space="0" w:color="000000" w:themeColor="text1"/>
            </w:tcBorders>
            <w:shd w:val="clear" w:color="auto" w:fill="D9D9D9" w:themeFill="background1" w:themeFillShade="D9"/>
          </w:tcPr>
          <w:p w14:paraId="228C9B6F" w14:textId="77777777" w:rsidR="00D2113D" w:rsidRPr="00D2113D" w:rsidRDefault="00D2113D" w:rsidP="005F6736">
            <w:pPr>
              <w:jc w:val="center"/>
              <w:rPr>
                <w:rFonts w:ascii="Times New Roman" w:eastAsiaTheme="minorEastAsia" w:hAnsi="Times New Roman" w:cs="Times New Roman"/>
                <w:sz w:val="24"/>
                <w:szCs w:val="24"/>
              </w:rPr>
            </w:pPr>
            <w:r w:rsidRPr="00D2113D">
              <w:rPr>
                <w:rFonts w:ascii="Times New Roman" w:eastAsiaTheme="minorEastAsia" w:hAnsi="Times New Roman" w:cs="Times New Roman"/>
                <w:sz w:val="24"/>
                <w:szCs w:val="24"/>
              </w:rPr>
              <w:t>6</w:t>
            </w:r>
          </w:p>
        </w:tc>
        <w:tc>
          <w:tcPr>
            <w:tcW w:w="4730" w:type="dxa"/>
            <w:tcBorders>
              <w:bottom w:val="single" w:sz="12" w:space="0" w:color="000000" w:themeColor="text1"/>
            </w:tcBorders>
            <w:shd w:val="clear" w:color="auto" w:fill="D9D9D9" w:themeFill="background1" w:themeFillShade="D9"/>
          </w:tcPr>
          <w:p w14:paraId="0733C5EC" w14:textId="5F6F5DF0" w:rsidR="00D2113D" w:rsidRPr="00D2113D" w:rsidRDefault="00D2113D" w:rsidP="00D2113D">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eastAsiaTheme="minorEastAsia" w:hAnsi="Times New Roman" w:cs="Times New Roman"/>
                <w:sz w:val="24"/>
                <w:szCs w:val="24"/>
              </w:rPr>
              <w:t>April 01, 2020</w:t>
            </w:r>
            <w:r w:rsidRPr="00D2113D">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rPr>
              <w:t>June 30, 2020</w:t>
            </w:r>
          </w:p>
        </w:tc>
        <w:tc>
          <w:tcPr>
            <w:tcW w:w="3084" w:type="dxa"/>
            <w:tcBorders>
              <w:bottom w:val="single" w:sz="12" w:space="0" w:color="000000" w:themeColor="text1"/>
              <w:right w:val="thinThickSmallGap" w:sz="12" w:space="0" w:color="auto"/>
            </w:tcBorders>
            <w:shd w:val="clear" w:color="auto" w:fill="D9D9D9" w:themeFill="background1" w:themeFillShade="D9"/>
          </w:tcPr>
          <w:p w14:paraId="683CA4FB" w14:textId="48FC0B0C" w:rsidR="00D2113D" w:rsidRPr="00D2113D" w:rsidRDefault="00D2113D" w:rsidP="00D2113D">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eastAsiaTheme="minorEastAsia" w:hAnsi="Times New Roman" w:cs="Times New Roman"/>
                <w:sz w:val="24"/>
                <w:szCs w:val="24"/>
              </w:rPr>
              <w:t>July 30, 2020</w:t>
            </w:r>
          </w:p>
        </w:tc>
      </w:tr>
      <w:tr w:rsidR="00D2113D" w:rsidRPr="00D2113D" w14:paraId="2EA92843" w14:textId="77777777" w:rsidTr="0029510E">
        <w:tc>
          <w:tcPr>
            <w:cnfStyle w:val="001000000000" w:firstRow="0" w:lastRow="0" w:firstColumn="1" w:lastColumn="0" w:oddVBand="0" w:evenVBand="0" w:oddHBand="0" w:evenHBand="0" w:firstRowFirstColumn="0" w:firstRowLastColumn="0" w:lastRowFirstColumn="0" w:lastRowLastColumn="0"/>
            <w:tcW w:w="1486" w:type="dxa"/>
            <w:tcBorders>
              <w:top w:val="single" w:sz="12" w:space="0" w:color="000000" w:themeColor="text1"/>
              <w:left w:val="thinThickSmallGap" w:sz="12" w:space="0" w:color="auto"/>
              <w:bottom w:val="thinThickSmallGap" w:sz="12" w:space="0" w:color="auto"/>
            </w:tcBorders>
            <w:shd w:val="clear" w:color="auto" w:fill="auto"/>
          </w:tcPr>
          <w:p w14:paraId="75A91539" w14:textId="77777777" w:rsidR="00D2113D" w:rsidRPr="00D2113D" w:rsidRDefault="00D2113D" w:rsidP="00D2113D">
            <w:pPr>
              <w:rPr>
                <w:rFonts w:ascii="Times New Roman" w:eastAsiaTheme="minorEastAsia" w:hAnsi="Times New Roman" w:cs="Times New Roman"/>
                <w:sz w:val="24"/>
                <w:szCs w:val="24"/>
              </w:rPr>
            </w:pPr>
          </w:p>
        </w:tc>
        <w:tc>
          <w:tcPr>
            <w:tcW w:w="4730" w:type="dxa"/>
            <w:tcBorders>
              <w:top w:val="single" w:sz="12" w:space="0" w:color="000000" w:themeColor="text1"/>
              <w:bottom w:val="thinThickSmallGap" w:sz="12" w:space="0" w:color="auto"/>
            </w:tcBorders>
            <w:shd w:val="clear" w:color="auto" w:fill="auto"/>
          </w:tcPr>
          <w:p w14:paraId="72A02E4E" w14:textId="77777777" w:rsidR="00D2113D" w:rsidRPr="00D2113D" w:rsidRDefault="00D2113D" w:rsidP="00D2113D">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sz w:val="24"/>
                <w:szCs w:val="24"/>
              </w:rPr>
            </w:pPr>
            <w:r w:rsidRPr="00D2113D">
              <w:rPr>
                <w:rFonts w:ascii="Times New Roman" w:eastAsiaTheme="minorEastAsia" w:hAnsi="Times New Roman" w:cs="Times New Roman"/>
                <w:b/>
                <w:sz w:val="24"/>
                <w:szCs w:val="24"/>
              </w:rPr>
              <w:t>Final Summary Brief</w:t>
            </w:r>
          </w:p>
        </w:tc>
        <w:tc>
          <w:tcPr>
            <w:tcW w:w="3084" w:type="dxa"/>
            <w:tcBorders>
              <w:top w:val="single" w:sz="12" w:space="0" w:color="000000" w:themeColor="text1"/>
              <w:bottom w:val="thinThickSmallGap" w:sz="12" w:space="0" w:color="auto"/>
              <w:right w:val="thinThickSmallGap" w:sz="12" w:space="0" w:color="auto"/>
            </w:tcBorders>
            <w:shd w:val="clear" w:color="auto" w:fill="auto"/>
          </w:tcPr>
          <w:p w14:paraId="061D5742" w14:textId="14323CFE" w:rsidR="00D2113D" w:rsidRPr="00D2113D" w:rsidRDefault="00D2113D" w:rsidP="00D2113D">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eastAsiaTheme="minorEastAsia" w:hAnsi="Times New Roman" w:cs="Times New Roman"/>
                <w:sz w:val="24"/>
                <w:szCs w:val="24"/>
              </w:rPr>
              <w:t>July 30, 2020</w:t>
            </w:r>
          </w:p>
        </w:tc>
      </w:tr>
    </w:tbl>
    <w:p w14:paraId="59400F8C" w14:textId="77777777" w:rsidR="00D15F32" w:rsidRPr="00DC2AB0" w:rsidRDefault="00D15F32" w:rsidP="00A45FD9">
      <w:pPr>
        <w:jc w:val="both"/>
        <w:rPr>
          <w:rFonts w:ascii="Times New Roman" w:eastAsia="Times New Roman" w:hAnsi="Times New Roman" w:cs="Times New Roman"/>
          <w:sz w:val="24"/>
          <w:szCs w:val="24"/>
        </w:rPr>
      </w:pPr>
    </w:p>
    <w:p w14:paraId="09A1417C" w14:textId="77777777" w:rsidR="00510579" w:rsidRPr="00DC2AB0" w:rsidRDefault="00B7483F" w:rsidP="00A45FD9">
      <w:pPr>
        <w:jc w:val="both"/>
        <w:rPr>
          <w:rFonts w:ascii="Times New Roman" w:eastAsia="Times New Roman" w:hAnsi="Times New Roman" w:cs="Times New Roman"/>
          <w:b/>
          <w:sz w:val="24"/>
          <w:szCs w:val="24"/>
        </w:rPr>
      </w:pPr>
      <w:r w:rsidRPr="00DC2AB0">
        <w:rPr>
          <w:rFonts w:ascii="Times New Roman" w:eastAsia="Times New Roman" w:hAnsi="Times New Roman" w:cs="Times New Roman"/>
          <w:b/>
          <w:sz w:val="24"/>
          <w:szCs w:val="24"/>
        </w:rPr>
        <w:t xml:space="preserve">G. </w:t>
      </w:r>
      <w:r w:rsidR="005C103E" w:rsidRPr="00DC2AB0">
        <w:rPr>
          <w:rFonts w:ascii="Times New Roman" w:eastAsia="Times New Roman" w:hAnsi="Times New Roman" w:cs="Times New Roman"/>
          <w:b/>
          <w:sz w:val="24"/>
          <w:szCs w:val="24"/>
        </w:rPr>
        <w:t>State</w:t>
      </w:r>
      <w:r w:rsidRPr="00DC2AB0">
        <w:rPr>
          <w:rFonts w:ascii="Times New Roman" w:eastAsia="Times New Roman" w:hAnsi="Times New Roman" w:cs="Times New Roman"/>
          <w:b/>
          <w:sz w:val="24"/>
          <w:szCs w:val="24"/>
        </w:rPr>
        <w:t xml:space="preserve"> Awa</w:t>
      </w:r>
      <w:r w:rsidR="00D15F32" w:rsidRPr="00DC2AB0">
        <w:rPr>
          <w:rFonts w:ascii="Times New Roman" w:eastAsia="Times New Roman" w:hAnsi="Times New Roman" w:cs="Times New Roman"/>
          <w:b/>
          <w:sz w:val="24"/>
          <w:szCs w:val="24"/>
        </w:rPr>
        <w:t>rding Agency Contact(s)</w:t>
      </w:r>
    </w:p>
    <w:p w14:paraId="0A59DA70" w14:textId="77777777" w:rsidR="00211B8D" w:rsidRPr="00DC2AB0" w:rsidRDefault="00211B8D" w:rsidP="00A45FD9">
      <w:pPr>
        <w:pStyle w:val="NoSpacing"/>
        <w:ind w:firstLine="720"/>
        <w:jc w:val="both"/>
        <w:rPr>
          <w:rFonts w:ascii="Times New Roman" w:hAnsi="Times New Roman" w:cs="Times New Roman"/>
          <w:sz w:val="24"/>
          <w:szCs w:val="24"/>
        </w:rPr>
      </w:pPr>
      <w:r w:rsidRPr="00DC2AB0">
        <w:rPr>
          <w:rFonts w:ascii="Times New Roman" w:hAnsi="Times New Roman" w:cs="Times New Roman"/>
          <w:sz w:val="24"/>
          <w:szCs w:val="24"/>
          <w:u w:val="single"/>
        </w:rPr>
        <w:t>Questions</w:t>
      </w:r>
      <w:r w:rsidRPr="00DC2AB0">
        <w:rPr>
          <w:rFonts w:ascii="Times New Roman" w:hAnsi="Times New Roman" w:cs="Times New Roman"/>
          <w:sz w:val="24"/>
          <w:szCs w:val="24"/>
        </w:rPr>
        <w:t>:</w:t>
      </w:r>
    </w:p>
    <w:p w14:paraId="341DAA7E" w14:textId="77777777" w:rsidR="00510579" w:rsidRPr="00DC2AB0" w:rsidRDefault="00211B8D" w:rsidP="00A45FD9">
      <w:pPr>
        <w:pStyle w:val="NoSpacing"/>
        <w:ind w:left="720"/>
        <w:jc w:val="both"/>
        <w:rPr>
          <w:rFonts w:ascii="Times New Roman" w:eastAsia="Times New Roman" w:hAnsi="Times New Roman" w:cs="Times New Roman"/>
          <w:sz w:val="24"/>
          <w:szCs w:val="24"/>
        </w:rPr>
      </w:pPr>
      <w:r w:rsidRPr="00DC2AB0">
        <w:rPr>
          <w:rFonts w:ascii="Times New Roman" w:eastAsia="Times New Roman" w:hAnsi="Times New Roman" w:cs="Times New Roman"/>
          <w:sz w:val="24"/>
          <w:szCs w:val="24"/>
        </w:rPr>
        <w:t xml:space="preserve">Please direct all questions to </w:t>
      </w:r>
      <w:hyperlink r:id="rId17" w:history="1">
        <w:r w:rsidR="007D1481" w:rsidRPr="00DC2AB0">
          <w:rPr>
            <w:rStyle w:val="Hyperlink"/>
            <w:rFonts w:ascii="Times New Roman" w:eastAsia="Times New Roman" w:hAnsi="Times New Roman" w:cs="Times New Roman"/>
            <w:sz w:val="24"/>
            <w:szCs w:val="24"/>
          </w:rPr>
          <w:t>cte@iccb.state.il.us</w:t>
        </w:r>
      </w:hyperlink>
      <w:r w:rsidRPr="00DC2AB0">
        <w:rPr>
          <w:rFonts w:ascii="Times New Roman" w:eastAsia="Times New Roman" w:hAnsi="Times New Roman" w:cs="Times New Roman"/>
          <w:sz w:val="24"/>
          <w:szCs w:val="24"/>
        </w:rPr>
        <w:t>.</w:t>
      </w:r>
    </w:p>
    <w:p w14:paraId="71227944" w14:textId="77777777" w:rsidR="00211B8D" w:rsidRPr="00DC2AB0" w:rsidRDefault="00211B8D" w:rsidP="00A45FD9">
      <w:pPr>
        <w:pStyle w:val="NoSpacing"/>
        <w:ind w:left="720" w:firstLine="720"/>
        <w:jc w:val="both"/>
        <w:rPr>
          <w:rFonts w:ascii="Times New Roman" w:eastAsia="Times New Roman" w:hAnsi="Times New Roman" w:cs="Times New Roman"/>
          <w:sz w:val="24"/>
          <w:szCs w:val="24"/>
        </w:rPr>
      </w:pPr>
    </w:p>
    <w:p w14:paraId="52930935" w14:textId="77777777" w:rsidR="00B009FB" w:rsidRPr="00DC2AB0" w:rsidRDefault="00B009FB" w:rsidP="00A45FD9">
      <w:pPr>
        <w:pStyle w:val="NoSpacing"/>
        <w:ind w:firstLine="720"/>
        <w:jc w:val="both"/>
        <w:rPr>
          <w:rFonts w:ascii="Times New Roman" w:hAnsi="Times New Roman" w:cs="Times New Roman"/>
          <w:sz w:val="24"/>
          <w:szCs w:val="24"/>
        </w:rPr>
      </w:pPr>
      <w:r w:rsidRPr="00DC2AB0">
        <w:rPr>
          <w:rFonts w:ascii="Times New Roman" w:eastAsia="Times New Roman" w:hAnsi="Times New Roman" w:cs="Times New Roman"/>
          <w:i/>
          <w:sz w:val="24"/>
          <w:szCs w:val="24"/>
        </w:rPr>
        <w:t>Programmatic</w:t>
      </w:r>
      <w:r w:rsidR="00211B8D" w:rsidRPr="00DC2AB0">
        <w:rPr>
          <w:rFonts w:ascii="Times New Roman" w:eastAsia="Times New Roman" w:hAnsi="Times New Roman" w:cs="Times New Roman"/>
          <w:i/>
          <w:sz w:val="24"/>
          <w:szCs w:val="24"/>
        </w:rPr>
        <w:t xml:space="preserve"> contact</w:t>
      </w:r>
      <w:r w:rsidRPr="00DC2AB0">
        <w:rPr>
          <w:rFonts w:ascii="Times New Roman" w:eastAsia="Times New Roman" w:hAnsi="Times New Roman" w:cs="Times New Roman"/>
          <w:sz w:val="24"/>
          <w:szCs w:val="24"/>
        </w:rPr>
        <w:t>:</w:t>
      </w:r>
    </w:p>
    <w:p w14:paraId="6DD5187C" w14:textId="77777777" w:rsidR="00B009FB" w:rsidRPr="00DC2AB0" w:rsidRDefault="00B009FB" w:rsidP="00A45FD9">
      <w:pPr>
        <w:pStyle w:val="NoSpacing"/>
        <w:ind w:firstLine="720"/>
        <w:jc w:val="both"/>
        <w:rPr>
          <w:rFonts w:ascii="Times New Roman" w:eastAsia="Times New Roman" w:hAnsi="Times New Roman" w:cs="Times New Roman"/>
          <w:sz w:val="24"/>
          <w:szCs w:val="24"/>
        </w:rPr>
      </w:pPr>
      <w:r w:rsidRPr="00DC2AB0">
        <w:rPr>
          <w:rFonts w:ascii="Times New Roman" w:eastAsia="Times New Roman" w:hAnsi="Times New Roman" w:cs="Times New Roman"/>
          <w:sz w:val="24"/>
          <w:szCs w:val="24"/>
        </w:rPr>
        <w:t xml:space="preserve">Whitney Thompson / (217)558-0318 / </w:t>
      </w:r>
      <w:hyperlink r:id="rId18" w:history="1">
        <w:r w:rsidRPr="00DC2AB0">
          <w:rPr>
            <w:rStyle w:val="Hyperlink"/>
            <w:rFonts w:ascii="Times New Roman" w:eastAsia="Times New Roman" w:hAnsi="Times New Roman" w:cs="Times New Roman"/>
            <w:sz w:val="24"/>
            <w:szCs w:val="24"/>
          </w:rPr>
          <w:t>whitney.thompson@illinois.gov</w:t>
        </w:r>
      </w:hyperlink>
      <w:r w:rsidRPr="00DC2AB0">
        <w:rPr>
          <w:rFonts w:ascii="Times New Roman" w:eastAsia="Times New Roman" w:hAnsi="Times New Roman" w:cs="Times New Roman"/>
          <w:sz w:val="24"/>
          <w:szCs w:val="24"/>
        </w:rPr>
        <w:t xml:space="preserve"> </w:t>
      </w:r>
    </w:p>
    <w:p w14:paraId="23192BE8" w14:textId="77777777" w:rsidR="00211B8D" w:rsidRPr="00DC2AB0" w:rsidRDefault="00211B8D" w:rsidP="00A45FD9">
      <w:pPr>
        <w:pStyle w:val="NoSpacing"/>
        <w:ind w:firstLine="720"/>
        <w:jc w:val="both"/>
        <w:rPr>
          <w:rFonts w:ascii="Times New Roman" w:eastAsia="Times New Roman" w:hAnsi="Times New Roman" w:cs="Times New Roman"/>
          <w:i/>
          <w:sz w:val="24"/>
          <w:szCs w:val="24"/>
        </w:rPr>
      </w:pPr>
    </w:p>
    <w:p w14:paraId="17B63BA0" w14:textId="77777777" w:rsidR="00B009FB" w:rsidRPr="00DC2AB0" w:rsidRDefault="00B009FB" w:rsidP="00A45FD9">
      <w:pPr>
        <w:pStyle w:val="NoSpacing"/>
        <w:ind w:firstLine="720"/>
        <w:jc w:val="both"/>
        <w:rPr>
          <w:rFonts w:ascii="Times New Roman" w:eastAsia="Times New Roman" w:hAnsi="Times New Roman" w:cs="Times New Roman"/>
          <w:sz w:val="24"/>
          <w:szCs w:val="24"/>
        </w:rPr>
      </w:pPr>
      <w:r w:rsidRPr="00DC2AB0">
        <w:rPr>
          <w:rFonts w:ascii="Times New Roman" w:eastAsia="Times New Roman" w:hAnsi="Times New Roman" w:cs="Times New Roman"/>
          <w:i/>
          <w:sz w:val="24"/>
          <w:szCs w:val="24"/>
        </w:rPr>
        <w:t>Compliance</w:t>
      </w:r>
      <w:r w:rsidR="00211B8D" w:rsidRPr="00DC2AB0">
        <w:rPr>
          <w:rFonts w:ascii="Times New Roman" w:eastAsia="Times New Roman" w:hAnsi="Times New Roman" w:cs="Times New Roman"/>
          <w:i/>
          <w:sz w:val="24"/>
          <w:szCs w:val="24"/>
        </w:rPr>
        <w:t xml:space="preserve"> contact</w:t>
      </w:r>
      <w:r w:rsidRPr="00DC2AB0">
        <w:rPr>
          <w:rFonts w:ascii="Times New Roman" w:eastAsia="Times New Roman" w:hAnsi="Times New Roman" w:cs="Times New Roman"/>
          <w:sz w:val="24"/>
          <w:szCs w:val="24"/>
        </w:rPr>
        <w:t>:</w:t>
      </w:r>
    </w:p>
    <w:p w14:paraId="451A2285" w14:textId="77777777" w:rsidR="00B009FB" w:rsidRPr="00DC2AB0" w:rsidRDefault="00B009FB" w:rsidP="00A45FD9">
      <w:pPr>
        <w:pStyle w:val="NoSpacing"/>
        <w:ind w:firstLine="720"/>
        <w:jc w:val="both"/>
        <w:rPr>
          <w:rFonts w:ascii="Times New Roman" w:hAnsi="Times New Roman" w:cs="Times New Roman"/>
          <w:sz w:val="24"/>
          <w:szCs w:val="24"/>
        </w:rPr>
      </w:pPr>
      <w:r w:rsidRPr="00DC2AB0">
        <w:rPr>
          <w:rFonts w:ascii="Times New Roman" w:eastAsia="Times New Roman" w:hAnsi="Times New Roman" w:cs="Times New Roman"/>
          <w:sz w:val="24"/>
          <w:szCs w:val="24"/>
        </w:rPr>
        <w:t xml:space="preserve">Natasha Allan / (217)785-0139 / </w:t>
      </w:r>
      <w:hyperlink r:id="rId19" w:history="1">
        <w:r w:rsidRPr="00DC2AB0">
          <w:rPr>
            <w:rStyle w:val="Hyperlink"/>
            <w:rFonts w:ascii="Times New Roman" w:eastAsia="Times New Roman" w:hAnsi="Times New Roman" w:cs="Times New Roman"/>
            <w:sz w:val="24"/>
            <w:szCs w:val="24"/>
          </w:rPr>
          <w:t>natasha.allan@illinois.gov</w:t>
        </w:r>
      </w:hyperlink>
      <w:r w:rsidRPr="00DC2AB0">
        <w:rPr>
          <w:rFonts w:ascii="Times New Roman" w:eastAsia="Times New Roman" w:hAnsi="Times New Roman" w:cs="Times New Roman"/>
          <w:sz w:val="24"/>
          <w:szCs w:val="24"/>
        </w:rPr>
        <w:t xml:space="preserve"> </w:t>
      </w:r>
    </w:p>
    <w:p w14:paraId="16AB2767" w14:textId="77777777" w:rsidR="00B7483F" w:rsidRPr="00DC2AB0" w:rsidRDefault="00B7483F" w:rsidP="00A45FD9">
      <w:pPr>
        <w:pStyle w:val="NoSpacing"/>
        <w:jc w:val="both"/>
        <w:rPr>
          <w:rFonts w:ascii="Times New Roman" w:hAnsi="Times New Roman" w:cs="Times New Roman"/>
          <w:sz w:val="24"/>
          <w:szCs w:val="24"/>
        </w:rPr>
      </w:pPr>
    </w:p>
    <w:p w14:paraId="3F136127" w14:textId="77777777" w:rsidR="00A45FD9" w:rsidRPr="00DC2AB0" w:rsidRDefault="00A45FD9" w:rsidP="00A45FD9">
      <w:pPr>
        <w:pStyle w:val="NoSpacing"/>
        <w:jc w:val="both"/>
        <w:rPr>
          <w:rFonts w:ascii="Times New Roman" w:hAnsi="Times New Roman" w:cs="Times New Roman"/>
          <w:sz w:val="24"/>
          <w:szCs w:val="24"/>
        </w:rPr>
      </w:pPr>
    </w:p>
    <w:p w14:paraId="6582DAA0" w14:textId="77777777" w:rsidR="00B7483F" w:rsidRPr="00DC2AB0" w:rsidRDefault="00D15F32" w:rsidP="00A45FD9">
      <w:pPr>
        <w:jc w:val="both"/>
        <w:rPr>
          <w:rFonts w:ascii="Times New Roman" w:eastAsia="Times New Roman" w:hAnsi="Times New Roman" w:cs="Times New Roman"/>
          <w:b/>
          <w:sz w:val="24"/>
          <w:szCs w:val="24"/>
        </w:rPr>
      </w:pPr>
      <w:r w:rsidRPr="00DC2AB0">
        <w:rPr>
          <w:rFonts w:ascii="Times New Roman" w:eastAsia="Times New Roman" w:hAnsi="Times New Roman" w:cs="Times New Roman"/>
          <w:b/>
          <w:sz w:val="24"/>
          <w:szCs w:val="24"/>
        </w:rPr>
        <w:t xml:space="preserve">H. </w:t>
      </w:r>
      <w:r w:rsidR="00211B8D" w:rsidRPr="00DC2AB0">
        <w:rPr>
          <w:rFonts w:ascii="Times New Roman" w:eastAsia="Times New Roman" w:hAnsi="Times New Roman" w:cs="Times New Roman"/>
          <w:b/>
          <w:sz w:val="24"/>
          <w:szCs w:val="24"/>
        </w:rPr>
        <w:t>Other Information</w:t>
      </w:r>
    </w:p>
    <w:p w14:paraId="3E3D0662" w14:textId="77777777" w:rsidR="00B4310A" w:rsidRPr="00DC2AB0" w:rsidRDefault="00B4310A" w:rsidP="00B4310A">
      <w:pPr>
        <w:spacing w:line="240" w:lineRule="auto"/>
        <w:ind w:firstLine="720"/>
        <w:contextualSpacing/>
        <w:jc w:val="both"/>
        <w:rPr>
          <w:rFonts w:ascii="Times New Roman" w:eastAsia="Times New Roman" w:hAnsi="Times New Roman" w:cs="Times New Roman"/>
          <w:sz w:val="24"/>
          <w:szCs w:val="24"/>
        </w:rPr>
      </w:pPr>
      <w:r w:rsidRPr="00DC2AB0">
        <w:rPr>
          <w:rFonts w:ascii="Times New Roman" w:eastAsia="Times New Roman" w:hAnsi="Times New Roman" w:cs="Times New Roman"/>
          <w:sz w:val="24"/>
          <w:szCs w:val="24"/>
          <w:u w:val="single"/>
        </w:rPr>
        <w:t>Technical Assistance</w:t>
      </w:r>
      <w:r w:rsidRPr="00DC2AB0">
        <w:rPr>
          <w:rFonts w:ascii="Times New Roman" w:eastAsia="Times New Roman" w:hAnsi="Times New Roman" w:cs="Times New Roman"/>
          <w:sz w:val="24"/>
          <w:szCs w:val="24"/>
        </w:rPr>
        <w:t xml:space="preserve">: </w:t>
      </w:r>
    </w:p>
    <w:p w14:paraId="462ABBF0" w14:textId="77777777" w:rsidR="00B4310A" w:rsidRPr="00DC2AB0" w:rsidRDefault="00B4310A" w:rsidP="00B4310A">
      <w:pPr>
        <w:spacing w:line="240" w:lineRule="auto"/>
        <w:ind w:left="720"/>
        <w:contextualSpacing/>
        <w:jc w:val="both"/>
        <w:rPr>
          <w:rFonts w:ascii="Times New Roman" w:eastAsia="Times New Roman" w:hAnsi="Times New Roman" w:cs="Times New Roman"/>
          <w:sz w:val="24"/>
          <w:szCs w:val="24"/>
        </w:rPr>
      </w:pPr>
      <w:r w:rsidRPr="00DC2AB0">
        <w:rPr>
          <w:rFonts w:ascii="Times New Roman" w:hAnsi="Times New Roman" w:cs="Times New Roman"/>
          <w:sz w:val="24"/>
          <w:szCs w:val="24"/>
        </w:rPr>
        <w:t xml:space="preserve">Technical assistance during the grant period will be provided by the ICCB staff and/or its affiliates. Please direct all questions to </w:t>
      </w:r>
      <w:hyperlink r:id="rId20" w:history="1">
        <w:r w:rsidRPr="00DC2AB0">
          <w:rPr>
            <w:rFonts w:ascii="Times New Roman" w:hAnsi="Times New Roman" w:cs="Times New Roman"/>
            <w:color w:val="0000FF" w:themeColor="hyperlink"/>
            <w:sz w:val="24"/>
            <w:szCs w:val="24"/>
            <w:u w:val="single"/>
          </w:rPr>
          <w:t>cte@iccb.state.il.us</w:t>
        </w:r>
      </w:hyperlink>
      <w:r w:rsidRPr="00DC2AB0">
        <w:rPr>
          <w:rFonts w:ascii="Times New Roman" w:hAnsi="Times New Roman" w:cs="Times New Roman"/>
          <w:sz w:val="24"/>
          <w:szCs w:val="24"/>
        </w:rPr>
        <w:t>.</w:t>
      </w:r>
    </w:p>
    <w:p w14:paraId="01261A20" w14:textId="77777777" w:rsidR="00B4310A" w:rsidRDefault="00B4310A" w:rsidP="00A45FD9">
      <w:pPr>
        <w:spacing w:line="240" w:lineRule="auto"/>
        <w:ind w:firstLine="720"/>
        <w:contextualSpacing/>
        <w:jc w:val="both"/>
        <w:rPr>
          <w:rFonts w:ascii="Times New Roman" w:eastAsia="Times New Roman" w:hAnsi="Times New Roman" w:cs="Times New Roman"/>
          <w:sz w:val="24"/>
          <w:szCs w:val="24"/>
          <w:u w:val="single"/>
        </w:rPr>
      </w:pPr>
    </w:p>
    <w:p w14:paraId="5063F1BC" w14:textId="77777777" w:rsidR="00B4310A" w:rsidRDefault="00B4310A" w:rsidP="00A45FD9">
      <w:pPr>
        <w:spacing w:line="240" w:lineRule="auto"/>
        <w:ind w:firstLine="720"/>
        <w:contextualSpacing/>
        <w:jc w:val="both"/>
        <w:rPr>
          <w:rFonts w:ascii="Times New Roman" w:eastAsia="Times New Roman" w:hAnsi="Times New Roman" w:cs="Times New Roman"/>
          <w:sz w:val="24"/>
          <w:szCs w:val="24"/>
          <w:u w:val="single"/>
        </w:rPr>
      </w:pPr>
    </w:p>
    <w:p w14:paraId="72F6D499" w14:textId="66186191" w:rsidR="00AC654C" w:rsidRDefault="00AC654C" w:rsidP="00A45FD9">
      <w:pPr>
        <w:spacing w:line="240" w:lineRule="auto"/>
        <w:ind w:firstLine="720"/>
        <w:contextualSpacing/>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Resources:</w:t>
      </w:r>
    </w:p>
    <w:p w14:paraId="5BA7004C" w14:textId="77777777" w:rsidR="00B4310A" w:rsidRDefault="00B4310A" w:rsidP="00A45FD9">
      <w:pPr>
        <w:spacing w:line="240" w:lineRule="auto"/>
        <w:ind w:firstLine="720"/>
        <w:contextualSpacing/>
        <w:jc w:val="both"/>
        <w:rPr>
          <w:rFonts w:ascii="Times New Roman" w:eastAsia="Times New Roman" w:hAnsi="Times New Roman" w:cs="Times New Roman"/>
          <w:sz w:val="24"/>
          <w:szCs w:val="24"/>
        </w:rPr>
      </w:pPr>
    </w:p>
    <w:p w14:paraId="41FA3A9C" w14:textId="318F25B9" w:rsidR="00AC654C" w:rsidRDefault="003E1FED" w:rsidP="00A45FD9">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Apprenticeships</w:t>
      </w:r>
    </w:p>
    <w:p w14:paraId="06D86737" w14:textId="4CED8C0B" w:rsidR="003E1FED" w:rsidRDefault="00284871" w:rsidP="003E1FED">
      <w:pPr>
        <w:pStyle w:val="ListParagraph"/>
        <w:numPr>
          <w:ilvl w:val="0"/>
          <w:numId w:val="36"/>
        </w:numPr>
        <w:spacing w:line="240" w:lineRule="auto"/>
        <w:jc w:val="both"/>
        <w:rPr>
          <w:rFonts w:ascii="Times New Roman" w:eastAsia="Times New Roman" w:hAnsi="Times New Roman" w:cs="Times New Roman"/>
          <w:sz w:val="24"/>
          <w:szCs w:val="24"/>
        </w:rPr>
      </w:pPr>
      <w:hyperlink r:id="rId21" w:history="1">
        <w:r w:rsidR="003E1FED" w:rsidRPr="003E1FED">
          <w:rPr>
            <w:rStyle w:val="Hyperlink"/>
            <w:rFonts w:ascii="Times New Roman" w:eastAsia="Times New Roman" w:hAnsi="Times New Roman" w:cs="Times New Roman"/>
            <w:sz w:val="24"/>
            <w:szCs w:val="24"/>
          </w:rPr>
          <w:t>ICCB Apprenticeship Information</w:t>
        </w:r>
      </w:hyperlink>
    </w:p>
    <w:p w14:paraId="37EDDAB9" w14:textId="1B71818B" w:rsidR="003E1FED" w:rsidRDefault="00284871" w:rsidP="003E1FED">
      <w:pPr>
        <w:pStyle w:val="ListParagraph"/>
        <w:numPr>
          <w:ilvl w:val="0"/>
          <w:numId w:val="36"/>
        </w:numPr>
        <w:spacing w:line="240" w:lineRule="auto"/>
        <w:jc w:val="both"/>
        <w:rPr>
          <w:rFonts w:ascii="Times New Roman" w:eastAsia="Times New Roman" w:hAnsi="Times New Roman" w:cs="Times New Roman"/>
          <w:sz w:val="24"/>
          <w:szCs w:val="24"/>
        </w:rPr>
      </w:pPr>
      <w:hyperlink r:id="rId22" w:history="1">
        <w:r w:rsidR="003E1FED" w:rsidRPr="003E1FED">
          <w:rPr>
            <w:rStyle w:val="Hyperlink"/>
            <w:rFonts w:ascii="Times New Roman" w:eastAsia="Times New Roman" w:hAnsi="Times New Roman" w:cs="Times New Roman"/>
            <w:sz w:val="24"/>
            <w:szCs w:val="24"/>
          </w:rPr>
          <w:t>ICCS Statewide Apprenticeship Agreement</w:t>
        </w:r>
      </w:hyperlink>
    </w:p>
    <w:p w14:paraId="567912B2" w14:textId="2C636E65" w:rsidR="003E1FED" w:rsidRDefault="00284871" w:rsidP="003E1FED">
      <w:pPr>
        <w:pStyle w:val="ListParagraph"/>
        <w:numPr>
          <w:ilvl w:val="0"/>
          <w:numId w:val="36"/>
        </w:numPr>
        <w:spacing w:line="240" w:lineRule="auto"/>
        <w:jc w:val="both"/>
        <w:rPr>
          <w:rFonts w:ascii="Times New Roman" w:eastAsia="Times New Roman" w:hAnsi="Times New Roman" w:cs="Times New Roman"/>
          <w:sz w:val="24"/>
          <w:szCs w:val="24"/>
        </w:rPr>
      </w:pPr>
      <w:hyperlink r:id="rId23" w:history="1">
        <w:r w:rsidR="003E1FED" w:rsidRPr="00B4310A">
          <w:rPr>
            <w:rStyle w:val="Hyperlink"/>
            <w:rFonts w:ascii="Times New Roman" w:eastAsia="Times New Roman" w:hAnsi="Times New Roman" w:cs="Times New Roman"/>
            <w:sz w:val="24"/>
            <w:szCs w:val="24"/>
          </w:rPr>
          <w:t>ApprenticeshipPlus Website</w:t>
        </w:r>
      </w:hyperlink>
    </w:p>
    <w:p w14:paraId="7DC0364A" w14:textId="20D220D0" w:rsidR="003E1FED" w:rsidRPr="003E1FED" w:rsidRDefault="00284871" w:rsidP="003E1FED">
      <w:pPr>
        <w:spacing w:line="240" w:lineRule="auto"/>
        <w:ind w:left="720"/>
        <w:jc w:val="both"/>
        <w:rPr>
          <w:rFonts w:ascii="Times New Roman" w:eastAsia="Times New Roman" w:hAnsi="Times New Roman" w:cs="Times New Roman"/>
          <w:sz w:val="24"/>
          <w:szCs w:val="24"/>
        </w:rPr>
      </w:pPr>
      <w:hyperlink r:id="rId24" w:history="1">
        <w:r w:rsidR="003E1FED" w:rsidRPr="00B4310A">
          <w:rPr>
            <w:rStyle w:val="Hyperlink"/>
            <w:rFonts w:ascii="Times New Roman" w:eastAsia="Times New Roman" w:hAnsi="Times New Roman" w:cs="Times New Roman"/>
            <w:sz w:val="24"/>
            <w:szCs w:val="24"/>
          </w:rPr>
          <w:t>Career Pathways</w:t>
        </w:r>
      </w:hyperlink>
    </w:p>
    <w:p w14:paraId="5BA5DB0D" w14:textId="1FEA97C5" w:rsidR="003E1FED" w:rsidRDefault="00284871" w:rsidP="003E1FED">
      <w:pPr>
        <w:spacing w:line="240" w:lineRule="auto"/>
        <w:ind w:left="720"/>
        <w:jc w:val="both"/>
        <w:rPr>
          <w:rFonts w:ascii="Times New Roman" w:eastAsia="Times New Roman" w:hAnsi="Times New Roman" w:cs="Times New Roman"/>
          <w:sz w:val="24"/>
          <w:szCs w:val="24"/>
        </w:rPr>
      </w:pPr>
      <w:hyperlink r:id="rId25" w:history="1">
        <w:r w:rsidR="003E1FED" w:rsidRPr="00B4310A">
          <w:rPr>
            <w:rStyle w:val="Hyperlink"/>
            <w:rFonts w:ascii="Times New Roman" w:eastAsia="Times New Roman" w:hAnsi="Times New Roman" w:cs="Times New Roman"/>
            <w:sz w:val="24"/>
            <w:szCs w:val="24"/>
          </w:rPr>
          <w:t>Dual Credit</w:t>
        </w:r>
      </w:hyperlink>
    </w:p>
    <w:p w14:paraId="73D09FFC" w14:textId="7120B0E7" w:rsidR="003E1FED" w:rsidRDefault="00284871" w:rsidP="003E1FED">
      <w:pPr>
        <w:spacing w:line="240" w:lineRule="auto"/>
        <w:ind w:left="720"/>
        <w:jc w:val="both"/>
        <w:rPr>
          <w:rFonts w:ascii="Times New Roman" w:eastAsia="Times New Roman" w:hAnsi="Times New Roman" w:cs="Times New Roman"/>
          <w:sz w:val="24"/>
          <w:szCs w:val="24"/>
        </w:rPr>
      </w:pPr>
      <w:hyperlink r:id="rId26" w:history="1">
        <w:r w:rsidR="003E1FED" w:rsidRPr="00B4310A">
          <w:rPr>
            <w:rStyle w:val="Hyperlink"/>
            <w:rFonts w:ascii="Times New Roman" w:eastAsia="Times New Roman" w:hAnsi="Times New Roman" w:cs="Times New Roman"/>
            <w:sz w:val="24"/>
            <w:szCs w:val="24"/>
          </w:rPr>
          <w:t>High Quality CTE Program Framework</w:t>
        </w:r>
      </w:hyperlink>
    </w:p>
    <w:p w14:paraId="152187A0" w14:textId="5508C920" w:rsidR="003E1FED" w:rsidRPr="003E1FED" w:rsidRDefault="00284871" w:rsidP="003E1FED">
      <w:pPr>
        <w:spacing w:line="240" w:lineRule="auto"/>
        <w:ind w:left="720"/>
        <w:jc w:val="both"/>
        <w:rPr>
          <w:rFonts w:ascii="Times New Roman" w:eastAsia="Times New Roman" w:hAnsi="Times New Roman" w:cs="Times New Roman"/>
          <w:sz w:val="24"/>
          <w:szCs w:val="24"/>
        </w:rPr>
      </w:pPr>
      <w:hyperlink r:id="rId27" w:history="1">
        <w:r w:rsidR="003E1FED" w:rsidRPr="00B4310A">
          <w:rPr>
            <w:rStyle w:val="Hyperlink"/>
            <w:rFonts w:ascii="Times New Roman" w:eastAsia="Times New Roman" w:hAnsi="Times New Roman" w:cs="Times New Roman"/>
            <w:sz w:val="24"/>
            <w:szCs w:val="24"/>
          </w:rPr>
          <w:t>Integrated Education and Training</w:t>
        </w:r>
        <w:r w:rsidR="00B4310A" w:rsidRPr="00B4310A">
          <w:rPr>
            <w:rStyle w:val="Hyperlink"/>
            <w:rFonts w:ascii="Times New Roman" w:eastAsia="Times New Roman" w:hAnsi="Times New Roman" w:cs="Times New Roman"/>
            <w:sz w:val="24"/>
            <w:szCs w:val="24"/>
          </w:rPr>
          <w:t>/ ICAPS</w:t>
        </w:r>
      </w:hyperlink>
    </w:p>
    <w:p w14:paraId="635B3017" w14:textId="3EC135C4" w:rsidR="003E1FED" w:rsidRPr="003E1FED" w:rsidRDefault="00284871" w:rsidP="003E1FED">
      <w:pPr>
        <w:spacing w:line="240" w:lineRule="auto"/>
        <w:ind w:left="720"/>
        <w:jc w:val="both"/>
        <w:rPr>
          <w:rFonts w:ascii="Times New Roman" w:eastAsia="Times New Roman" w:hAnsi="Times New Roman" w:cs="Times New Roman"/>
          <w:sz w:val="24"/>
          <w:szCs w:val="24"/>
        </w:rPr>
      </w:pPr>
      <w:hyperlink r:id="rId28" w:history="1">
        <w:r w:rsidR="003E1FED" w:rsidRPr="003E1FED">
          <w:rPr>
            <w:rStyle w:val="Hyperlink"/>
            <w:rFonts w:ascii="Times New Roman" w:eastAsia="Times New Roman" w:hAnsi="Times New Roman" w:cs="Times New Roman"/>
            <w:sz w:val="24"/>
            <w:szCs w:val="24"/>
          </w:rPr>
          <w:t>Special Populations Students</w:t>
        </w:r>
      </w:hyperlink>
    </w:p>
    <w:p w14:paraId="73107F51" w14:textId="527AD55A" w:rsidR="003E1FED" w:rsidRPr="003E1FED" w:rsidRDefault="003E1FED" w:rsidP="003E1FED">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CTE resources can be found utilizing the </w:t>
      </w:r>
      <w:hyperlink r:id="rId29" w:history="1">
        <w:r w:rsidRPr="003E1FED">
          <w:rPr>
            <w:rStyle w:val="Hyperlink"/>
            <w:rFonts w:ascii="Times New Roman" w:eastAsia="Times New Roman" w:hAnsi="Times New Roman" w:cs="Times New Roman"/>
            <w:sz w:val="24"/>
            <w:szCs w:val="24"/>
          </w:rPr>
          <w:t>ICCB CTE website</w:t>
        </w:r>
      </w:hyperlink>
      <w:r>
        <w:rPr>
          <w:rFonts w:ascii="Times New Roman" w:eastAsia="Times New Roman" w:hAnsi="Times New Roman" w:cs="Times New Roman"/>
          <w:sz w:val="24"/>
          <w:szCs w:val="24"/>
        </w:rPr>
        <w:t>.</w:t>
      </w:r>
    </w:p>
    <w:p w14:paraId="32063F7D" w14:textId="08584220" w:rsidR="007901E3" w:rsidRPr="00DC2AB0" w:rsidRDefault="007901E3" w:rsidP="00A45FD9">
      <w:pPr>
        <w:jc w:val="both"/>
        <w:rPr>
          <w:rFonts w:ascii="Times New Roman" w:hAnsi="Times New Roman" w:cs="Times New Roman"/>
          <w:b/>
          <w:sz w:val="24"/>
          <w:szCs w:val="24"/>
        </w:rPr>
      </w:pPr>
    </w:p>
    <w:p w14:paraId="34BE68F7" w14:textId="77777777" w:rsidR="00F23F39" w:rsidRPr="00DC2AB0" w:rsidRDefault="00F23F39" w:rsidP="00A45FD9">
      <w:pPr>
        <w:spacing w:after="0" w:line="240" w:lineRule="auto"/>
        <w:jc w:val="both"/>
        <w:rPr>
          <w:rFonts w:eastAsia="Times New Roman" w:cs="Arial"/>
          <w:b/>
          <w:sz w:val="24"/>
          <w:szCs w:val="24"/>
        </w:rPr>
      </w:pPr>
    </w:p>
    <w:sectPr w:rsidR="00F23F39" w:rsidRPr="00DC2AB0" w:rsidSect="002F2892">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00064" w14:textId="77777777" w:rsidR="00E70ECB" w:rsidRDefault="00E70ECB" w:rsidP="005B521E">
      <w:pPr>
        <w:spacing w:after="0" w:line="240" w:lineRule="auto"/>
      </w:pPr>
      <w:r>
        <w:separator/>
      </w:r>
    </w:p>
  </w:endnote>
  <w:endnote w:type="continuationSeparator" w:id="0">
    <w:p w14:paraId="034E66EA" w14:textId="77777777" w:rsidR="00E70ECB" w:rsidRDefault="00E70ECB" w:rsidP="005B5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659359"/>
      <w:docPartObj>
        <w:docPartGallery w:val="Page Numbers (Bottom of Page)"/>
        <w:docPartUnique/>
      </w:docPartObj>
    </w:sdtPr>
    <w:sdtEndPr>
      <w:rPr>
        <w:noProof/>
      </w:rPr>
    </w:sdtEndPr>
    <w:sdtContent>
      <w:p w14:paraId="1E2720D6" w14:textId="36D49584" w:rsidR="008307C4" w:rsidRDefault="008307C4">
        <w:pPr>
          <w:pStyle w:val="Footer"/>
          <w:jc w:val="right"/>
        </w:pPr>
        <w:r>
          <w:fldChar w:fldCharType="begin"/>
        </w:r>
        <w:r>
          <w:instrText xml:space="preserve"> PAGE   \* MERGEFORMAT </w:instrText>
        </w:r>
        <w:r>
          <w:fldChar w:fldCharType="separate"/>
        </w:r>
        <w:r w:rsidR="00284871">
          <w:rPr>
            <w:noProof/>
          </w:rPr>
          <w:t>8</w:t>
        </w:r>
        <w:r>
          <w:rPr>
            <w:noProof/>
          </w:rPr>
          <w:fldChar w:fldCharType="end"/>
        </w:r>
      </w:p>
    </w:sdtContent>
  </w:sdt>
  <w:p w14:paraId="5E2365E4" w14:textId="77777777" w:rsidR="008307C4" w:rsidRDefault="008307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E0911" w14:textId="77777777" w:rsidR="00E70ECB" w:rsidRDefault="00E70ECB" w:rsidP="005B521E">
      <w:pPr>
        <w:spacing w:after="0" w:line="240" w:lineRule="auto"/>
      </w:pPr>
      <w:r>
        <w:separator/>
      </w:r>
    </w:p>
  </w:footnote>
  <w:footnote w:type="continuationSeparator" w:id="0">
    <w:p w14:paraId="161AAA33" w14:textId="77777777" w:rsidR="00E70ECB" w:rsidRDefault="00E70ECB" w:rsidP="005B52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5CD7"/>
    <w:multiLevelType w:val="hybridMultilevel"/>
    <w:tmpl w:val="DC727C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8C3FBA"/>
    <w:multiLevelType w:val="hybridMultilevel"/>
    <w:tmpl w:val="29C24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71449F"/>
    <w:multiLevelType w:val="hybridMultilevel"/>
    <w:tmpl w:val="DE7E1F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E6C02"/>
    <w:multiLevelType w:val="hybridMultilevel"/>
    <w:tmpl w:val="C5747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A251D4"/>
    <w:multiLevelType w:val="hybridMultilevel"/>
    <w:tmpl w:val="2C7CE18A"/>
    <w:lvl w:ilvl="0" w:tplc="04090001">
      <w:start w:val="1"/>
      <w:numFmt w:val="bullet"/>
      <w:lvlText w:val=""/>
      <w:lvlJc w:val="left"/>
      <w:pPr>
        <w:ind w:left="1590" w:hanging="87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E11FAE"/>
    <w:multiLevelType w:val="hybridMultilevel"/>
    <w:tmpl w:val="2D42AE64"/>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 w15:restartNumberingAfterBreak="0">
    <w:nsid w:val="1B0427C4"/>
    <w:multiLevelType w:val="hybridMultilevel"/>
    <w:tmpl w:val="9038410A"/>
    <w:lvl w:ilvl="0" w:tplc="824ADDC2">
      <w:start w:val="1"/>
      <w:numFmt w:val="decimal"/>
      <w:lvlText w:val="%1."/>
      <w:lvlJc w:val="left"/>
      <w:pPr>
        <w:ind w:left="117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C50B11"/>
    <w:multiLevelType w:val="hybridMultilevel"/>
    <w:tmpl w:val="64F6A2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D124D8D"/>
    <w:multiLevelType w:val="hybridMultilevel"/>
    <w:tmpl w:val="9E2A2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F43AB0"/>
    <w:multiLevelType w:val="hybridMultilevel"/>
    <w:tmpl w:val="40D21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1122ECB"/>
    <w:multiLevelType w:val="hybridMultilevel"/>
    <w:tmpl w:val="A15A690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2A46EB4"/>
    <w:multiLevelType w:val="hybridMultilevel"/>
    <w:tmpl w:val="8A4E54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3920D3"/>
    <w:multiLevelType w:val="hybridMultilevel"/>
    <w:tmpl w:val="FD926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625250"/>
    <w:multiLevelType w:val="hybridMultilevel"/>
    <w:tmpl w:val="8B386ED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D33EA2"/>
    <w:multiLevelType w:val="hybridMultilevel"/>
    <w:tmpl w:val="3D487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4B1C04"/>
    <w:multiLevelType w:val="hybridMultilevel"/>
    <w:tmpl w:val="1CA2E2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5700C9E"/>
    <w:multiLevelType w:val="hybridMultilevel"/>
    <w:tmpl w:val="9C9A4690"/>
    <w:lvl w:ilvl="0" w:tplc="F9CEDED2">
      <w:start w:val="1"/>
      <w:numFmt w:val="decimal"/>
      <w:lvlText w:val="%1."/>
      <w:lvlJc w:val="left"/>
      <w:pPr>
        <w:ind w:left="810" w:hanging="360"/>
      </w:pPr>
      <w:rPr>
        <w:rFonts w:hint="default"/>
        <w:b/>
        <w: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45772632"/>
    <w:multiLevelType w:val="hybridMultilevel"/>
    <w:tmpl w:val="9996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D7140A"/>
    <w:multiLevelType w:val="hybridMultilevel"/>
    <w:tmpl w:val="E25A2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BF07245"/>
    <w:multiLevelType w:val="hybridMultilevel"/>
    <w:tmpl w:val="E79044FA"/>
    <w:lvl w:ilvl="0" w:tplc="99EED2EC">
      <w:start w:val="1"/>
      <w:numFmt w:val="upperLetter"/>
      <w:lvlText w:val="%1."/>
      <w:lvlJc w:val="left"/>
      <w:pPr>
        <w:ind w:left="360" w:hanging="360"/>
      </w:pPr>
      <w:rPr>
        <w:rFonts w:hint="default"/>
        <w:b/>
      </w:rPr>
    </w:lvl>
    <w:lvl w:ilvl="1" w:tplc="C1B259A2">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F135A6D"/>
    <w:multiLevelType w:val="hybridMultilevel"/>
    <w:tmpl w:val="B6E028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02604B7"/>
    <w:multiLevelType w:val="hybridMultilevel"/>
    <w:tmpl w:val="26865B0E"/>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1AF7CC2"/>
    <w:multiLevelType w:val="hybridMultilevel"/>
    <w:tmpl w:val="C614A9D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3" w15:restartNumberingAfterBreak="0">
    <w:nsid w:val="520B455B"/>
    <w:multiLevelType w:val="hybridMultilevel"/>
    <w:tmpl w:val="0BD07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527768"/>
    <w:multiLevelType w:val="hybridMultilevel"/>
    <w:tmpl w:val="A2643F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24D7341"/>
    <w:multiLevelType w:val="hybridMultilevel"/>
    <w:tmpl w:val="198EB880"/>
    <w:lvl w:ilvl="0" w:tplc="6D526150">
      <w:start w:val="3"/>
      <w:numFmt w:val="decimal"/>
      <w:lvlText w:val="%1."/>
      <w:lvlJc w:val="left"/>
      <w:pPr>
        <w:ind w:left="360" w:hanging="360"/>
      </w:pPr>
      <w:rPr>
        <w:rFonts w:hint="default"/>
      </w:r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3A4568"/>
    <w:multiLevelType w:val="hybridMultilevel"/>
    <w:tmpl w:val="AA0E68F6"/>
    <w:lvl w:ilvl="0" w:tplc="632AD6A8">
      <w:start w:val="1"/>
      <w:numFmt w:val="lowerRoman"/>
      <w:lvlText w:val="%1."/>
      <w:lvlJc w:val="left"/>
      <w:pPr>
        <w:ind w:left="1590" w:hanging="87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A807FB2"/>
    <w:multiLevelType w:val="hybridMultilevel"/>
    <w:tmpl w:val="5F303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595900"/>
    <w:multiLevelType w:val="hybridMultilevel"/>
    <w:tmpl w:val="3EB060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CB95473"/>
    <w:multiLevelType w:val="hybridMultilevel"/>
    <w:tmpl w:val="2BD4D40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15:restartNumberingAfterBreak="0">
    <w:nsid w:val="6FC34C1C"/>
    <w:multiLevelType w:val="hybridMultilevel"/>
    <w:tmpl w:val="10FA8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0EF4026"/>
    <w:multiLevelType w:val="hybridMultilevel"/>
    <w:tmpl w:val="8876AF7C"/>
    <w:lvl w:ilvl="0" w:tplc="9AAC2A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8823CB"/>
    <w:multiLevelType w:val="hybridMultilevel"/>
    <w:tmpl w:val="9B907E54"/>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D34EB2"/>
    <w:multiLevelType w:val="hybridMultilevel"/>
    <w:tmpl w:val="7348F1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FE0F0D"/>
    <w:multiLevelType w:val="hybridMultilevel"/>
    <w:tmpl w:val="504A9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5325F40"/>
    <w:multiLevelType w:val="hybridMultilevel"/>
    <w:tmpl w:val="E9669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7B77258"/>
    <w:multiLevelType w:val="hybridMultilevel"/>
    <w:tmpl w:val="E34213C4"/>
    <w:lvl w:ilvl="0" w:tplc="824ADDC2">
      <w:start w:val="2"/>
      <w:numFmt w:val="decimal"/>
      <w:lvlText w:val="%1."/>
      <w:lvlJc w:val="left"/>
      <w:pPr>
        <w:ind w:left="1080" w:hanging="360"/>
      </w:pPr>
      <w:rPr>
        <w:rFonts w:hint="default"/>
        <w:b/>
        <w:i/>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6"/>
  </w:num>
  <w:num w:numId="2">
    <w:abstractNumId w:val="31"/>
  </w:num>
  <w:num w:numId="3">
    <w:abstractNumId w:val="16"/>
  </w:num>
  <w:num w:numId="4">
    <w:abstractNumId w:val="19"/>
  </w:num>
  <w:num w:numId="5">
    <w:abstractNumId w:val="29"/>
  </w:num>
  <w:num w:numId="6">
    <w:abstractNumId w:val="7"/>
  </w:num>
  <w:num w:numId="7">
    <w:abstractNumId w:val="2"/>
  </w:num>
  <w:num w:numId="8">
    <w:abstractNumId w:val="23"/>
  </w:num>
  <w:num w:numId="9">
    <w:abstractNumId w:val="24"/>
  </w:num>
  <w:num w:numId="10">
    <w:abstractNumId w:val="27"/>
  </w:num>
  <w:num w:numId="11">
    <w:abstractNumId w:val="36"/>
  </w:num>
  <w:num w:numId="12">
    <w:abstractNumId w:val="6"/>
  </w:num>
  <w:num w:numId="13">
    <w:abstractNumId w:val="25"/>
  </w:num>
  <w:num w:numId="14">
    <w:abstractNumId w:val="4"/>
  </w:num>
  <w:num w:numId="15">
    <w:abstractNumId w:val="32"/>
  </w:num>
  <w:num w:numId="16">
    <w:abstractNumId w:val="13"/>
  </w:num>
  <w:num w:numId="17">
    <w:abstractNumId w:val="22"/>
  </w:num>
  <w:num w:numId="18">
    <w:abstractNumId w:val="8"/>
  </w:num>
  <w:num w:numId="19">
    <w:abstractNumId w:val="21"/>
  </w:num>
  <w:num w:numId="20">
    <w:abstractNumId w:val="9"/>
  </w:num>
  <w:num w:numId="21">
    <w:abstractNumId w:val="17"/>
  </w:num>
  <w:num w:numId="22">
    <w:abstractNumId w:val="18"/>
  </w:num>
  <w:num w:numId="23">
    <w:abstractNumId w:val="3"/>
  </w:num>
  <w:num w:numId="24">
    <w:abstractNumId w:val="15"/>
  </w:num>
  <w:num w:numId="25">
    <w:abstractNumId w:val="33"/>
  </w:num>
  <w:num w:numId="26">
    <w:abstractNumId w:val="5"/>
  </w:num>
  <w:num w:numId="27">
    <w:abstractNumId w:val="20"/>
  </w:num>
  <w:num w:numId="28">
    <w:abstractNumId w:val="11"/>
  </w:num>
  <w:num w:numId="29">
    <w:abstractNumId w:val="30"/>
  </w:num>
  <w:num w:numId="30">
    <w:abstractNumId w:val="0"/>
  </w:num>
  <w:num w:numId="31">
    <w:abstractNumId w:val="34"/>
  </w:num>
  <w:num w:numId="32">
    <w:abstractNumId w:val="10"/>
  </w:num>
  <w:num w:numId="33">
    <w:abstractNumId w:val="35"/>
  </w:num>
  <w:num w:numId="34">
    <w:abstractNumId w:val="28"/>
  </w:num>
  <w:num w:numId="35">
    <w:abstractNumId w:val="14"/>
  </w:num>
  <w:num w:numId="36">
    <w:abstractNumId w:val="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83F"/>
    <w:rsid w:val="00000F6C"/>
    <w:rsid w:val="00006184"/>
    <w:rsid w:val="00013311"/>
    <w:rsid w:val="00033D46"/>
    <w:rsid w:val="000629F7"/>
    <w:rsid w:val="0007131F"/>
    <w:rsid w:val="00085DA3"/>
    <w:rsid w:val="000968A2"/>
    <w:rsid w:val="000A64D9"/>
    <w:rsid w:val="000D3F4E"/>
    <w:rsid w:val="000F209B"/>
    <w:rsid w:val="000F3461"/>
    <w:rsid w:val="000F57D0"/>
    <w:rsid w:val="001179A3"/>
    <w:rsid w:val="00121316"/>
    <w:rsid w:val="00126C64"/>
    <w:rsid w:val="0013187E"/>
    <w:rsid w:val="00132C99"/>
    <w:rsid w:val="001539A0"/>
    <w:rsid w:val="00161E57"/>
    <w:rsid w:val="001C71B2"/>
    <w:rsid w:val="001D5D56"/>
    <w:rsid w:val="001D6D7C"/>
    <w:rsid w:val="001F2E2B"/>
    <w:rsid w:val="00207D13"/>
    <w:rsid w:val="00211B8D"/>
    <w:rsid w:val="0023072F"/>
    <w:rsid w:val="002318B0"/>
    <w:rsid w:val="0024749A"/>
    <w:rsid w:val="00253D18"/>
    <w:rsid w:val="00257CA3"/>
    <w:rsid w:val="00271119"/>
    <w:rsid w:val="002826B4"/>
    <w:rsid w:val="002829B4"/>
    <w:rsid w:val="00284871"/>
    <w:rsid w:val="0029510E"/>
    <w:rsid w:val="002A1EF6"/>
    <w:rsid w:val="002B0C79"/>
    <w:rsid w:val="002C23A9"/>
    <w:rsid w:val="002E0156"/>
    <w:rsid w:val="002F2892"/>
    <w:rsid w:val="003013CF"/>
    <w:rsid w:val="00301BC4"/>
    <w:rsid w:val="0034569C"/>
    <w:rsid w:val="003963C2"/>
    <w:rsid w:val="003A5795"/>
    <w:rsid w:val="003B03CE"/>
    <w:rsid w:val="003E1FED"/>
    <w:rsid w:val="00424E40"/>
    <w:rsid w:val="004329A6"/>
    <w:rsid w:val="0043526B"/>
    <w:rsid w:val="004630A4"/>
    <w:rsid w:val="004815BE"/>
    <w:rsid w:val="004B2C5E"/>
    <w:rsid w:val="004B7B20"/>
    <w:rsid w:val="004C756C"/>
    <w:rsid w:val="004D0AB1"/>
    <w:rsid w:val="004D42EC"/>
    <w:rsid w:val="004D615B"/>
    <w:rsid w:val="004E717F"/>
    <w:rsid w:val="004E7F71"/>
    <w:rsid w:val="004F2AC6"/>
    <w:rsid w:val="00510579"/>
    <w:rsid w:val="0053137A"/>
    <w:rsid w:val="00562FC6"/>
    <w:rsid w:val="00577C06"/>
    <w:rsid w:val="005B027D"/>
    <w:rsid w:val="005B521E"/>
    <w:rsid w:val="005C103E"/>
    <w:rsid w:val="005C3F56"/>
    <w:rsid w:val="005F226B"/>
    <w:rsid w:val="005F4B08"/>
    <w:rsid w:val="005F6736"/>
    <w:rsid w:val="00625A2D"/>
    <w:rsid w:val="00634AC9"/>
    <w:rsid w:val="006468BF"/>
    <w:rsid w:val="00667AA4"/>
    <w:rsid w:val="00683C0D"/>
    <w:rsid w:val="00690720"/>
    <w:rsid w:val="0069778D"/>
    <w:rsid w:val="006B776D"/>
    <w:rsid w:val="006C29A4"/>
    <w:rsid w:val="006D3F06"/>
    <w:rsid w:val="006E003D"/>
    <w:rsid w:val="006E429E"/>
    <w:rsid w:val="006F20BE"/>
    <w:rsid w:val="006F3833"/>
    <w:rsid w:val="00704A18"/>
    <w:rsid w:val="0072248C"/>
    <w:rsid w:val="00742563"/>
    <w:rsid w:val="007901E3"/>
    <w:rsid w:val="007B0CB6"/>
    <w:rsid w:val="007D1481"/>
    <w:rsid w:val="007D43E0"/>
    <w:rsid w:val="007F7D48"/>
    <w:rsid w:val="007F7DF5"/>
    <w:rsid w:val="00805FC8"/>
    <w:rsid w:val="0080725C"/>
    <w:rsid w:val="008119F6"/>
    <w:rsid w:val="00814976"/>
    <w:rsid w:val="00817CA5"/>
    <w:rsid w:val="008229DC"/>
    <w:rsid w:val="008307C4"/>
    <w:rsid w:val="0083389A"/>
    <w:rsid w:val="00841324"/>
    <w:rsid w:val="00867330"/>
    <w:rsid w:val="00880079"/>
    <w:rsid w:val="0088651D"/>
    <w:rsid w:val="00890EBB"/>
    <w:rsid w:val="008A57A9"/>
    <w:rsid w:val="008C2A1C"/>
    <w:rsid w:val="0092562B"/>
    <w:rsid w:val="009836EF"/>
    <w:rsid w:val="00987170"/>
    <w:rsid w:val="009A0972"/>
    <w:rsid w:val="009A7AD8"/>
    <w:rsid w:val="009C0D12"/>
    <w:rsid w:val="009C3637"/>
    <w:rsid w:val="009D207C"/>
    <w:rsid w:val="009E2B87"/>
    <w:rsid w:val="00A02EFC"/>
    <w:rsid w:val="00A0489D"/>
    <w:rsid w:val="00A2008A"/>
    <w:rsid w:val="00A45FD9"/>
    <w:rsid w:val="00A50C62"/>
    <w:rsid w:val="00A524E8"/>
    <w:rsid w:val="00A54BC4"/>
    <w:rsid w:val="00A66AA7"/>
    <w:rsid w:val="00A84811"/>
    <w:rsid w:val="00A96D57"/>
    <w:rsid w:val="00AB0497"/>
    <w:rsid w:val="00AB4271"/>
    <w:rsid w:val="00AC654C"/>
    <w:rsid w:val="00AD2A2D"/>
    <w:rsid w:val="00AF3A96"/>
    <w:rsid w:val="00B009FB"/>
    <w:rsid w:val="00B41A4E"/>
    <w:rsid w:val="00B4310A"/>
    <w:rsid w:val="00B57AF7"/>
    <w:rsid w:val="00B67243"/>
    <w:rsid w:val="00B67CB0"/>
    <w:rsid w:val="00B7483F"/>
    <w:rsid w:val="00B85AD9"/>
    <w:rsid w:val="00B85E27"/>
    <w:rsid w:val="00BA53A1"/>
    <w:rsid w:val="00BB2A53"/>
    <w:rsid w:val="00BD659A"/>
    <w:rsid w:val="00BF3C3C"/>
    <w:rsid w:val="00C0322B"/>
    <w:rsid w:val="00C1103E"/>
    <w:rsid w:val="00C24C64"/>
    <w:rsid w:val="00C32070"/>
    <w:rsid w:val="00C4062E"/>
    <w:rsid w:val="00C4798B"/>
    <w:rsid w:val="00C80B3F"/>
    <w:rsid w:val="00C84658"/>
    <w:rsid w:val="00C90141"/>
    <w:rsid w:val="00C917AE"/>
    <w:rsid w:val="00C96257"/>
    <w:rsid w:val="00CA4B4F"/>
    <w:rsid w:val="00CB642C"/>
    <w:rsid w:val="00CC2E5C"/>
    <w:rsid w:val="00CD5133"/>
    <w:rsid w:val="00CE1437"/>
    <w:rsid w:val="00CE2C25"/>
    <w:rsid w:val="00CF4DDF"/>
    <w:rsid w:val="00CF6836"/>
    <w:rsid w:val="00D13376"/>
    <w:rsid w:val="00D15F32"/>
    <w:rsid w:val="00D2113D"/>
    <w:rsid w:val="00D3456E"/>
    <w:rsid w:val="00D35F4C"/>
    <w:rsid w:val="00D43359"/>
    <w:rsid w:val="00D6235A"/>
    <w:rsid w:val="00D7634C"/>
    <w:rsid w:val="00D7692B"/>
    <w:rsid w:val="00D81AD6"/>
    <w:rsid w:val="00D83826"/>
    <w:rsid w:val="00D86FEC"/>
    <w:rsid w:val="00DA00A4"/>
    <w:rsid w:val="00DA6C77"/>
    <w:rsid w:val="00DC2AB0"/>
    <w:rsid w:val="00DC3022"/>
    <w:rsid w:val="00DC39A5"/>
    <w:rsid w:val="00E151B6"/>
    <w:rsid w:val="00E16AED"/>
    <w:rsid w:val="00E240C1"/>
    <w:rsid w:val="00E249AD"/>
    <w:rsid w:val="00E4190F"/>
    <w:rsid w:val="00E51761"/>
    <w:rsid w:val="00E549F0"/>
    <w:rsid w:val="00E70ECB"/>
    <w:rsid w:val="00E81531"/>
    <w:rsid w:val="00E948CC"/>
    <w:rsid w:val="00E94C12"/>
    <w:rsid w:val="00E9666C"/>
    <w:rsid w:val="00EA6697"/>
    <w:rsid w:val="00EC06D2"/>
    <w:rsid w:val="00EC1103"/>
    <w:rsid w:val="00EC469E"/>
    <w:rsid w:val="00EC7B27"/>
    <w:rsid w:val="00ED3443"/>
    <w:rsid w:val="00EE2BF5"/>
    <w:rsid w:val="00F16464"/>
    <w:rsid w:val="00F1649D"/>
    <w:rsid w:val="00F23F39"/>
    <w:rsid w:val="00F476EF"/>
    <w:rsid w:val="00F506F8"/>
    <w:rsid w:val="00F53CF9"/>
    <w:rsid w:val="00F651BD"/>
    <w:rsid w:val="00F8458D"/>
    <w:rsid w:val="00FD5399"/>
    <w:rsid w:val="00FF7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9582C2E"/>
  <w15:docId w15:val="{9746D2A5-7389-4B63-803E-FEA5CE85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83F"/>
    <w:rPr>
      <w:color w:val="0000FF" w:themeColor="hyperlink"/>
      <w:u w:val="single"/>
    </w:rPr>
  </w:style>
  <w:style w:type="paragraph" w:styleId="ListParagraph">
    <w:name w:val="List Paragraph"/>
    <w:basedOn w:val="Normal"/>
    <w:uiPriority w:val="99"/>
    <w:qFormat/>
    <w:rsid w:val="00B7483F"/>
    <w:pPr>
      <w:ind w:left="720"/>
      <w:contextualSpacing/>
    </w:pPr>
  </w:style>
  <w:style w:type="table" w:styleId="TableGrid">
    <w:name w:val="Table Grid"/>
    <w:basedOn w:val="TableNormal"/>
    <w:uiPriority w:val="59"/>
    <w:rsid w:val="00DC3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C3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3CF9"/>
    <w:rPr>
      <w:sz w:val="16"/>
      <w:szCs w:val="16"/>
    </w:rPr>
  </w:style>
  <w:style w:type="paragraph" w:styleId="CommentText">
    <w:name w:val="annotation text"/>
    <w:basedOn w:val="Normal"/>
    <w:link w:val="CommentTextChar"/>
    <w:uiPriority w:val="99"/>
    <w:semiHidden/>
    <w:unhideWhenUsed/>
    <w:rsid w:val="00F53CF9"/>
    <w:pPr>
      <w:spacing w:line="240" w:lineRule="auto"/>
    </w:pPr>
    <w:rPr>
      <w:sz w:val="20"/>
      <w:szCs w:val="20"/>
    </w:rPr>
  </w:style>
  <w:style w:type="character" w:customStyle="1" w:styleId="CommentTextChar">
    <w:name w:val="Comment Text Char"/>
    <w:basedOn w:val="DefaultParagraphFont"/>
    <w:link w:val="CommentText"/>
    <w:uiPriority w:val="99"/>
    <w:semiHidden/>
    <w:rsid w:val="00F53CF9"/>
    <w:rPr>
      <w:sz w:val="20"/>
      <w:szCs w:val="20"/>
    </w:rPr>
  </w:style>
  <w:style w:type="paragraph" w:styleId="CommentSubject">
    <w:name w:val="annotation subject"/>
    <w:basedOn w:val="CommentText"/>
    <w:next w:val="CommentText"/>
    <w:link w:val="CommentSubjectChar"/>
    <w:uiPriority w:val="99"/>
    <w:semiHidden/>
    <w:unhideWhenUsed/>
    <w:rsid w:val="00F53CF9"/>
    <w:rPr>
      <w:b/>
      <w:bCs/>
    </w:rPr>
  </w:style>
  <w:style w:type="character" w:customStyle="1" w:styleId="CommentSubjectChar">
    <w:name w:val="Comment Subject Char"/>
    <w:basedOn w:val="CommentTextChar"/>
    <w:link w:val="CommentSubject"/>
    <w:uiPriority w:val="99"/>
    <w:semiHidden/>
    <w:rsid w:val="00F53CF9"/>
    <w:rPr>
      <w:b/>
      <w:bCs/>
      <w:sz w:val="20"/>
      <w:szCs w:val="20"/>
    </w:rPr>
  </w:style>
  <w:style w:type="paragraph" w:styleId="BalloonText">
    <w:name w:val="Balloon Text"/>
    <w:basedOn w:val="Normal"/>
    <w:link w:val="BalloonTextChar"/>
    <w:uiPriority w:val="99"/>
    <w:semiHidden/>
    <w:unhideWhenUsed/>
    <w:rsid w:val="00F53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CF9"/>
    <w:rPr>
      <w:rFonts w:ascii="Tahoma" w:hAnsi="Tahoma" w:cs="Tahoma"/>
      <w:sz w:val="16"/>
      <w:szCs w:val="16"/>
    </w:rPr>
  </w:style>
  <w:style w:type="paragraph" w:styleId="Header">
    <w:name w:val="header"/>
    <w:basedOn w:val="Normal"/>
    <w:link w:val="HeaderChar"/>
    <w:uiPriority w:val="99"/>
    <w:unhideWhenUsed/>
    <w:rsid w:val="005B5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21E"/>
  </w:style>
  <w:style w:type="paragraph" w:styleId="Footer">
    <w:name w:val="footer"/>
    <w:basedOn w:val="Normal"/>
    <w:link w:val="FooterChar"/>
    <w:uiPriority w:val="99"/>
    <w:unhideWhenUsed/>
    <w:rsid w:val="005B5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21E"/>
  </w:style>
  <w:style w:type="paragraph" w:styleId="NormalWeb">
    <w:name w:val="Normal (Web)"/>
    <w:basedOn w:val="Normal"/>
    <w:uiPriority w:val="99"/>
    <w:semiHidden/>
    <w:unhideWhenUsed/>
    <w:rsid w:val="002318B0"/>
    <w:pPr>
      <w:spacing w:after="180" w:line="240" w:lineRule="auto"/>
    </w:pPr>
    <w:rPr>
      <w:rFonts w:ascii="Times New Roman" w:eastAsia="Times New Roman" w:hAnsi="Times New Roman" w:cs="Times New Roman"/>
      <w:sz w:val="24"/>
      <w:szCs w:val="24"/>
    </w:rPr>
  </w:style>
  <w:style w:type="character" w:customStyle="1" w:styleId="tgc">
    <w:name w:val="_tgc"/>
    <w:basedOn w:val="DefaultParagraphFont"/>
    <w:rsid w:val="00562FC6"/>
  </w:style>
  <w:style w:type="paragraph" w:styleId="FootnoteText">
    <w:name w:val="footnote text"/>
    <w:basedOn w:val="Normal"/>
    <w:link w:val="FootnoteTextChar"/>
    <w:uiPriority w:val="99"/>
    <w:semiHidden/>
    <w:unhideWhenUsed/>
    <w:rsid w:val="004B7B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7B20"/>
    <w:rPr>
      <w:sz w:val="20"/>
      <w:szCs w:val="20"/>
    </w:rPr>
  </w:style>
  <w:style w:type="character" w:styleId="FootnoteReference">
    <w:name w:val="footnote reference"/>
    <w:basedOn w:val="DefaultParagraphFont"/>
    <w:uiPriority w:val="99"/>
    <w:semiHidden/>
    <w:unhideWhenUsed/>
    <w:rsid w:val="004B7B20"/>
    <w:rPr>
      <w:vertAlign w:val="superscript"/>
    </w:rPr>
  </w:style>
  <w:style w:type="paragraph" w:customStyle="1" w:styleId="Default">
    <w:name w:val="Default"/>
    <w:rsid w:val="004B2C5E"/>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BookTitle">
    <w:name w:val="Book Title"/>
    <w:basedOn w:val="DefaultParagraphFont"/>
    <w:uiPriority w:val="33"/>
    <w:qFormat/>
    <w:rsid w:val="004B2C5E"/>
    <w:rPr>
      <w:b/>
      <w:bCs/>
      <w:smallCaps/>
      <w:spacing w:val="5"/>
    </w:rPr>
  </w:style>
  <w:style w:type="table" w:styleId="LightShading">
    <w:name w:val="Light Shading"/>
    <w:basedOn w:val="TableNormal"/>
    <w:uiPriority w:val="60"/>
    <w:rsid w:val="007D1481"/>
    <w:pPr>
      <w:spacing w:after="0" w:line="240" w:lineRule="auto"/>
      <w:ind w:left="36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211B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380137">
      <w:bodyDiv w:val="1"/>
      <w:marLeft w:val="0"/>
      <w:marRight w:val="0"/>
      <w:marTop w:val="0"/>
      <w:marBottom w:val="0"/>
      <w:divBdr>
        <w:top w:val="none" w:sz="0" w:space="0" w:color="auto"/>
        <w:left w:val="none" w:sz="0" w:space="0" w:color="auto"/>
        <w:bottom w:val="none" w:sz="0" w:space="0" w:color="auto"/>
        <w:right w:val="none" w:sz="0" w:space="0" w:color="auto"/>
      </w:divBdr>
    </w:div>
    <w:div w:id="1833325432">
      <w:bodyDiv w:val="1"/>
      <w:marLeft w:val="750"/>
      <w:marRight w:val="750"/>
      <w:marTop w:val="0"/>
      <w:marBottom w:val="0"/>
      <w:divBdr>
        <w:top w:val="none" w:sz="0" w:space="0" w:color="auto"/>
        <w:left w:val="none" w:sz="0" w:space="0" w:color="auto"/>
        <w:bottom w:val="none" w:sz="0" w:space="0" w:color="auto"/>
        <w:right w:val="none" w:sz="0" w:space="0" w:color="auto"/>
      </w:divBdr>
      <w:divsChild>
        <w:div w:id="1024865323">
          <w:marLeft w:val="0"/>
          <w:marRight w:val="0"/>
          <w:marTop w:val="75"/>
          <w:marBottom w:val="75"/>
          <w:divBdr>
            <w:top w:val="none" w:sz="0" w:space="0" w:color="auto"/>
            <w:left w:val="none" w:sz="0" w:space="0" w:color="auto"/>
            <w:bottom w:val="none" w:sz="0" w:space="0" w:color="auto"/>
            <w:right w:val="none" w:sz="0" w:space="0" w:color="auto"/>
          </w:divBdr>
          <w:divsChild>
            <w:div w:id="1087652456">
              <w:marLeft w:val="0"/>
              <w:marRight w:val="0"/>
              <w:marTop w:val="75"/>
              <w:marBottom w:val="75"/>
              <w:divBdr>
                <w:top w:val="none" w:sz="0" w:space="0" w:color="auto"/>
                <w:left w:val="none" w:sz="0" w:space="0" w:color="auto"/>
                <w:bottom w:val="none" w:sz="0" w:space="0" w:color="auto"/>
                <w:right w:val="none" w:sz="0" w:space="0" w:color="auto"/>
              </w:divBdr>
              <w:divsChild>
                <w:div w:id="399914286">
                  <w:marLeft w:val="0"/>
                  <w:marRight w:val="0"/>
                  <w:marTop w:val="75"/>
                  <w:marBottom w:val="75"/>
                  <w:divBdr>
                    <w:top w:val="none" w:sz="0" w:space="0" w:color="auto"/>
                    <w:left w:val="none" w:sz="0" w:space="0" w:color="auto"/>
                    <w:bottom w:val="none" w:sz="0" w:space="0" w:color="auto"/>
                    <w:right w:val="none" w:sz="0" w:space="0" w:color="auto"/>
                  </w:divBdr>
                  <w:divsChild>
                    <w:div w:id="1736856189">
                      <w:marLeft w:val="0"/>
                      <w:marRight w:val="0"/>
                      <w:marTop w:val="0"/>
                      <w:marBottom w:val="0"/>
                      <w:divBdr>
                        <w:top w:val="none" w:sz="0" w:space="0" w:color="auto"/>
                        <w:left w:val="none" w:sz="0" w:space="0" w:color="auto"/>
                        <w:bottom w:val="none" w:sz="0" w:space="0" w:color="auto"/>
                        <w:right w:val="none" w:sz="0" w:space="0" w:color="auto"/>
                      </w:divBdr>
                      <w:divsChild>
                        <w:div w:id="1175724817">
                          <w:marLeft w:val="0"/>
                          <w:marRight w:val="0"/>
                          <w:marTop w:val="0"/>
                          <w:marBottom w:val="0"/>
                          <w:divBdr>
                            <w:top w:val="none" w:sz="0" w:space="0" w:color="auto"/>
                            <w:left w:val="none" w:sz="0" w:space="0" w:color="auto"/>
                            <w:bottom w:val="none" w:sz="0" w:space="0" w:color="auto"/>
                            <w:right w:val="none" w:sz="0" w:space="0" w:color="auto"/>
                          </w:divBdr>
                          <w:divsChild>
                            <w:div w:id="142241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50474">
                      <w:marLeft w:val="0"/>
                      <w:marRight w:val="0"/>
                      <w:marTop w:val="0"/>
                      <w:marBottom w:val="0"/>
                      <w:divBdr>
                        <w:top w:val="none" w:sz="0" w:space="0" w:color="auto"/>
                        <w:left w:val="none" w:sz="0" w:space="0" w:color="auto"/>
                        <w:bottom w:val="none" w:sz="0" w:space="0" w:color="auto"/>
                        <w:right w:val="none" w:sz="0" w:space="0" w:color="auto"/>
                      </w:divBdr>
                      <w:divsChild>
                        <w:div w:id="1441222330">
                          <w:marLeft w:val="0"/>
                          <w:marRight w:val="0"/>
                          <w:marTop w:val="0"/>
                          <w:marBottom w:val="0"/>
                          <w:divBdr>
                            <w:top w:val="none" w:sz="0" w:space="0" w:color="auto"/>
                            <w:left w:val="none" w:sz="0" w:space="0" w:color="auto"/>
                            <w:bottom w:val="none" w:sz="0" w:space="0" w:color="auto"/>
                            <w:right w:val="none" w:sz="0" w:space="0" w:color="auto"/>
                          </w:divBdr>
                          <w:divsChild>
                            <w:div w:id="6960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6151">
                      <w:marLeft w:val="0"/>
                      <w:marRight w:val="0"/>
                      <w:marTop w:val="0"/>
                      <w:marBottom w:val="0"/>
                      <w:divBdr>
                        <w:top w:val="none" w:sz="0" w:space="0" w:color="auto"/>
                        <w:left w:val="none" w:sz="0" w:space="0" w:color="auto"/>
                        <w:bottom w:val="none" w:sz="0" w:space="0" w:color="auto"/>
                        <w:right w:val="none" w:sz="0" w:space="0" w:color="auto"/>
                      </w:divBdr>
                      <w:divsChild>
                        <w:div w:id="2006974790">
                          <w:marLeft w:val="0"/>
                          <w:marRight w:val="0"/>
                          <w:marTop w:val="0"/>
                          <w:marBottom w:val="0"/>
                          <w:divBdr>
                            <w:top w:val="none" w:sz="0" w:space="0" w:color="auto"/>
                            <w:left w:val="none" w:sz="0" w:space="0" w:color="auto"/>
                            <w:bottom w:val="none" w:sz="0" w:space="0" w:color="auto"/>
                            <w:right w:val="none" w:sz="0" w:space="0" w:color="auto"/>
                          </w:divBdr>
                          <w:divsChild>
                            <w:div w:id="103037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9273">
                      <w:marLeft w:val="0"/>
                      <w:marRight w:val="0"/>
                      <w:marTop w:val="0"/>
                      <w:marBottom w:val="0"/>
                      <w:divBdr>
                        <w:top w:val="none" w:sz="0" w:space="0" w:color="auto"/>
                        <w:left w:val="none" w:sz="0" w:space="0" w:color="auto"/>
                        <w:bottom w:val="none" w:sz="0" w:space="0" w:color="auto"/>
                        <w:right w:val="none" w:sz="0" w:space="0" w:color="auto"/>
                      </w:divBdr>
                      <w:divsChild>
                        <w:div w:id="1208034178">
                          <w:marLeft w:val="0"/>
                          <w:marRight w:val="0"/>
                          <w:marTop w:val="0"/>
                          <w:marBottom w:val="0"/>
                          <w:divBdr>
                            <w:top w:val="none" w:sz="0" w:space="0" w:color="auto"/>
                            <w:left w:val="none" w:sz="0" w:space="0" w:color="auto"/>
                            <w:bottom w:val="none" w:sz="0" w:space="0" w:color="auto"/>
                            <w:right w:val="none" w:sz="0" w:space="0" w:color="auto"/>
                          </w:divBdr>
                          <w:divsChild>
                            <w:div w:id="209138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276957">
      <w:bodyDiv w:val="1"/>
      <w:marLeft w:val="0"/>
      <w:marRight w:val="0"/>
      <w:marTop w:val="0"/>
      <w:marBottom w:val="0"/>
      <w:divBdr>
        <w:top w:val="none" w:sz="0" w:space="0" w:color="auto"/>
        <w:left w:val="none" w:sz="0" w:space="0" w:color="auto"/>
        <w:bottom w:val="none" w:sz="0" w:space="0" w:color="auto"/>
        <w:right w:val="none" w:sz="0" w:space="0" w:color="auto"/>
      </w:divBdr>
      <w:divsChild>
        <w:div w:id="1049915183">
          <w:marLeft w:val="0"/>
          <w:marRight w:val="0"/>
          <w:marTop w:val="0"/>
          <w:marBottom w:val="0"/>
          <w:divBdr>
            <w:top w:val="none" w:sz="0" w:space="0" w:color="auto"/>
            <w:left w:val="none" w:sz="0" w:space="0" w:color="auto"/>
            <w:bottom w:val="none" w:sz="0" w:space="0" w:color="auto"/>
            <w:right w:val="none" w:sz="0" w:space="0" w:color="auto"/>
          </w:divBdr>
          <w:divsChild>
            <w:div w:id="1063792802">
              <w:marLeft w:val="0"/>
              <w:marRight w:val="0"/>
              <w:marTop w:val="0"/>
              <w:marBottom w:val="0"/>
              <w:divBdr>
                <w:top w:val="none" w:sz="0" w:space="0" w:color="auto"/>
                <w:left w:val="none" w:sz="0" w:space="0" w:color="auto"/>
                <w:bottom w:val="none" w:sz="0" w:space="0" w:color="auto"/>
                <w:right w:val="none" w:sz="0" w:space="0" w:color="auto"/>
              </w:divBdr>
              <w:divsChild>
                <w:div w:id="129625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hitney.thompson@illinois.gov" TargetMode="External"/><Relationship Id="rId13" Type="http://schemas.openxmlformats.org/officeDocument/2006/relationships/hyperlink" Target="https://www.iccb.org/cte/?page_id=73" TargetMode="External"/><Relationship Id="rId18" Type="http://schemas.openxmlformats.org/officeDocument/2006/relationships/hyperlink" Target="mailto:whitney.thompson@illinois.gov" TargetMode="External"/><Relationship Id="rId26" Type="http://schemas.openxmlformats.org/officeDocument/2006/relationships/hyperlink" Target="https://careertech.org/resource/quality-cte-program-of-study-framework" TargetMode="External"/><Relationship Id="rId3" Type="http://schemas.openxmlformats.org/officeDocument/2006/relationships/styles" Target="styles.xml"/><Relationship Id="rId21" Type="http://schemas.openxmlformats.org/officeDocument/2006/relationships/hyperlink" Target="https://www.iccb.org/cte/?page_id=1436" TargetMode="External"/><Relationship Id="rId7" Type="http://schemas.openxmlformats.org/officeDocument/2006/relationships/endnotes" Target="endnotes.xml"/><Relationship Id="rId12" Type="http://schemas.openxmlformats.org/officeDocument/2006/relationships/hyperlink" Target="https://governmentcontractregistration.com/sam-registration.asp" TargetMode="External"/><Relationship Id="rId17" Type="http://schemas.openxmlformats.org/officeDocument/2006/relationships/hyperlink" Target="mailto:cte@iccb.state.il.us" TargetMode="External"/><Relationship Id="rId25" Type="http://schemas.openxmlformats.org/officeDocument/2006/relationships/hyperlink" Target="https://www.iccb.org/cte/?page_id=1175" TargetMode="External"/><Relationship Id="rId2" Type="http://schemas.openxmlformats.org/officeDocument/2006/relationships/numbering" Target="numbering.xml"/><Relationship Id="rId16" Type="http://schemas.openxmlformats.org/officeDocument/2006/relationships/hyperlink" Target="mailto:cte@iccb.state.il.us" TargetMode="External"/><Relationship Id="rId20" Type="http://schemas.openxmlformats.org/officeDocument/2006/relationships/hyperlink" Target="mailto:cte@iccb.state.il.us" TargetMode="External"/><Relationship Id="rId29" Type="http://schemas.openxmlformats.org/officeDocument/2006/relationships/hyperlink" Target="https://www.iccb.org/c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illinois.gov" TargetMode="External"/><Relationship Id="rId24" Type="http://schemas.openxmlformats.org/officeDocument/2006/relationships/hyperlink" Target="https://www.iccb.org/cte/?page_id=144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llinois.gov/sites/GATA/Documents/Resource%20Library/Merit%20Based%20Review%20Policy%20FY19.pdf" TargetMode="External"/><Relationship Id="rId23" Type="http://schemas.openxmlformats.org/officeDocument/2006/relationships/hyperlink" Target="https://www.illinoisworknet.com/ApprenticeshipPlus" TargetMode="External"/><Relationship Id="rId28" Type="http://schemas.openxmlformats.org/officeDocument/2006/relationships/hyperlink" Target="https://icsps.illinoisstate.edu/2016/10/special-population-recruitment-and-retention-support-strategies-documents/" TargetMode="External"/><Relationship Id="rId10" Type="http://schemas.openxmlformats.org/officeDocument/2006/relationships/hyperlink" Target="http://www.iccb.org/cte/wp-content/uploads/2018/03/Perkins-Expenditure-Resource.pdf" TargetMode="External"/><Relationship Id="rId19" Type="http://schemas.openxmlformats.org/officeDocument/2006/relationships/hyperlink" Target="mailto:natasha.allan@illinois.gov"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ccb.org/cte/?page_id=73" TargetMode="External"/><Relationship Id="rId14" Type="http://schemas.openxmlformats.org/officeDocument/2006/relationships/hyperlink" Target="mailto:cte@iccb.state.il.us" TargetMode="External"/><Relationship Id="rId22" Type="http://schemas.openxmlformats.org/officeDocument/2006/relationships/hyperlink" Target="https://www.iccb.org/cte/wp-content/uploads/2017/02/ICCB-Statewide-Apprenticeship-Agreement_approved_1-27_17.pdf" TargetMode="External"/><Relationship Id="rId27" Type="http://schemas.openxmlformats.org/officeDocument/2006/relationships/hyperlink" Target="https://www.icapsillinois.co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FA476C-8987-43B7-B524-4E85016AC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3068</Words>
  <Characters>17494</Characters>
  <Application>Microsoft Office Word</Application>
  <DocSecurity>4</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MARCIA</dc:creator>
  <cp:lastModifiedBy>Melissa Andrews</cp:lastModifiedBy>
  <cp:revision>2</cp:revision>
  <cp:lastPrinted>2016-02-29T17:05:00Z</cp:lastPrinted>
  <dcterms:created xsi:type="dcterms:W3CDTF">2018-08-27T21:16:00Z</dcterms:created>
  <dcterms:modified xsi:type="dcterms:W3CDTF">2018-08-27T21:16:00Z</dcterms:modified>
</cp:coreProperties>
</file>