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66CD4" w14:textId="77777777" w:rsidR="00C04443" w:rsidRDefault="00904FF0">
      <w:pPr>
        <w:spacing w:after="60"/>
      </w:pPr>
      <w:r>
        <w:rPr>
          <w:b/>
          <w:bCs/>
          <w:color w:val="1F4E79"/>
          <w:sz w:val="36"/>
          <w:szCs w:val="36"/>
        </w:rPr>
        <w:t>FY27 SCALE PROJECT GRANT</w:t>
      </w:r>
    </w:p>
    <w:p w14:paraId="4679E199" w14:textId="77777777" w:rsidR="00C04443" w:rsidRDefault="00904FF0">
      <w:pPr>
        <w:spacing w:after="60"/>
        <w:jc w:val="center"/>
      </w:pPr>
      <w:r>
        <w:rPr>
          <w:b/>
          <w:bCs/>
          <w:color w:val="2E75B6"/>
          <w:sz w:val="28"/>
          <w:szCs w:val="28"/>
        </w:rPr>
        <w:t>FREQUENTLY ASKED QUESTIONS</w:t>
      </w:r>
    </w:p>
    <w:p w14:paraId="4CD08997" w14:textId="77777777" w:rsidR="00C04443" w:rsidRDefault="00904FF0">
      <w:pPr>
        <w:pBdr>
          <w:bottom w:val="single" w:sz="6" w:space="0" w:color="2E75B6"/>
        </w:pBdr>
        <w:spacing w:after="200"/>
        <w:jc w:val="center"/>
      </w:pPr>
      <w:r>
        <w:rPr>
          <w:i/>
          <w:iCs/>
          <w:color w:val="666666"/>
        </w:rPr>
        <w:t>Strengthening Capacity and Advancing Learner Equity in Developmental Education | Updated October 22, 2026</w:t>
      </w:r>
    </w:p>
    <w:p w14:paraId="773B4BFB" w14:textId="0D4CDAC3" w:rsidR="00C04443" w:rsidRDefault="00904FF0">
      <w:pPr>
        <w:spacing w:after="120"/>
      </w:pPr>
      <w:r>
        <w:rPr>
          <w:color w:val="222222"/>
        </w:rPr>
        <w:t xml:space="preserve">This document answers questions colleges have raised about the FY27 SCALE Project grant. Please review the full Notice of Funding Opportunity (NOFO) for all requirements, deadlines, and scoring criteria. If your question is not answered here, email </w:t>
      </w:r>
      <w:hyperlink r:id="rId7" w:history="1">
        <w:r w:rsidR="00456924" w:rsidRPr="009B39B9">
          <w:rPr>
            <w:rStyle w:val="Hyperlink"/>
          </w:rPr>
          <w:t>iccb.studentservices@illinois.gov</w:t>
        </w:r>
      </w:hyperlink>
      <w:r w:rsidR="00456924">
        <w:rPr>
          <w:color w:val="222222"/>
        </w:rPr>
        <w:t xml:space="preserve"> </w:t>
      </w:r>
      <w:r>
        <w:rPr>
          <w:color w:val="222222"/>
        </w:rPr>
        <w:t xml:space="preserve"> with the subject line “[Organization’s Name] FY27 SCALE, Strengthening Capacity and Advancing Learner Equity in Developmental Education.”</w:t>
      </w:r>
    </w:p>
    <w:p w14:paraId="38DECC21" w14:textId="77777777" w:rsidR="00C04443" w:rsidRDefault="00904FF0">
      <w:pPr>
        <w:pStyle w:val="Heading1"/>
        <w:keepNext/>
        <w:shd w:val="clear" w:color="auto" w:fill="1F4E79"/>
        <w:ind w:left="120" w:right="120"/>
      </w:pPr>
      <w:r>
        <w:t>Section 1: Allowable Activities &amp; Uses of Funds</w:t>
      </w:r>
    </w:p>
    <w:p w14:paraId="5649CFD9" w14:textId="77777777" w:rsidR="00C04443" w:rsidRDefault="00904FF0">
      <w:pPr>
        <w:keepNext/>
        <w:keepLines/>
        <w:spacing w:before="160" w:after="40"/>
      </w:pPr>
      <w:r>
        <w:rPr>
          <w:b/>
          <w:bCs/>
          <w:color w:val="1F4E79"/>
        </w:rPr>
        <w:t>Can funds support students with disabilities, such as neurodivergent students?</w:t>
      </w:r>
    </w:p>
    <w:p w14:paraId="68B7AB12" w14:textId="77777777" w:rsidR="00C04443" w:rsidRDefault="00904FF0">
      <w:pPr>
        <w:spacing w:after="120"/>
      </w:pPr>
      <w:r>
        <w:rPr>
          <w:color w:val="222222"/>
        </w:rPr>
        <w:t>Yes, when the activities align with your selected primary objective and connect placement, student support, and student outcomes. The allowable activities listed in the NOFO are examples, not an exhaustive list.</w:t>
      </w:r>
    </w:p>
    <w:p w14:paraId="692AB950" w14:textId="77777777" w:rsidR="00C04443" w:rsidRDefault="00904FF0">
      <w:pPr>
        <w:keepNext/>
        <w:keepLines/>
        <w:spacing w:before="160" w:after="40"/>
      </w:pPr>
      <w:r>
        <w:rPr>
          <w:b/>
          <w:bCs/>
          <w:color w:val="1F4E79"/>
        </w:rPr>
        <w:t>Can we propose a strategy our college has not tried before?</w:t>
      </w:r>
    </w:p>
    <w:p w14:paraId="271421DB" w14:textId="77777777" w:rsidR="00C04443" w:rsidRDefault="00904FF0">
      <w:pPr>
        <w:spacing w:after="120"/>
      </w:pPr>
      <w:r>
        <w:rPr>
          <w:color w:val="222222"/>
        </w:rPr>
        <w:t>Yes, but proposed activities should build on evidence-based practices. Even if a strategy is new to your college, your application should explain how the work will be scaled or replicated.</w:t>
      </w:r>
    </w:p>
    <w:p w14:paraId="4A63A8B2" w14:textId="77777777" w:rsidR="00C04443" w:rsidRDefault="00904FF0">
      <w:pPr>
        <w:keepNext/>
        <w:keepLines/>
        <w:spacing w:before="160" w:after="40"/>
      </w:pPr>
      <w:r>
        <w:rPr>
          <w:b/>
          <w:bCs/>
          <w:color w:val="1F4E79"/>
        </w:rPr>
        <w:t>Can funds be used to refine or redesign courses we have already scaled?</w:t>
      </w:r>
    </w:p>
    <w:p w14:paraId="6C4BA235" w14:textId="77777777" w:rsidR="00C04443" w:rsidRDefault="00904FF0">
      <w:pPr>
        <w:spacing w:after="120"/>
      </w:pPr>
      <w:r>
        <w:rPr>
          <w:color w:val="222222"/>
        </w:rPr>
        <w:t>Yes. Redesigning existing corequisite or credit-bearing support models based on student outcome data is allowable under Objective 2.</w:t>
      </w:r>
    </w:p>
    <w:p w14:paraId="2C9ABA86" w14:textId="77777777" w:rsidR="00C04443" w:rsidRDefault="00904FF0">
      <w:pPr>
        <w:keepNext/>
        <w:keepLines/>
        <w:spacing w:before="160" w:after="40"/>
      </w:pPr>
      <w:r>
        <w:rPr>
          <w:b/>
          <w:bCs/>
          <w:color w:val="1F4E79"/>
        </w:rPr>
        <w:t>Can funds be used to pay faculty for course development?</w:t>
      </w:r>
    </w:p>
    <w:p w14:paraId="46F2767A" w14:textId="77777777" w:rsidR="00C04443" w:rsidRDefault="00904FF0">
      <w:pPr>
        <w:spacing w:after="120"/>
      </w:pPr>
      <w:r>
        <w:rPr>
          <w:color w:val="222222"/>
        </w:rPr>
        <w:t xml:space="preserve">Yes, when the work supports your selected objective. Development work should strengthen the course model </w:t>
      </w:r>
      <w:proofErr w:type="gramStart"/>
      <w:r>
        <w:rPr>
          <w:color w:val="222222"/>
        </w:rPr>
        <w:t>as a whole rather</w:t>
      </w:r>
      <w:proofErr w:type="gramEnd"/>
      <w:r>
        <w:rPr>
          <w:color w:val="222222"/>
        </w:rPr>
        <w:t xml:space="preserve"> than a single instructor’s section.</w:t>
      </w:r>
    </w:p>
    <w:p w14:paraId="5EB81151" w14:textId="77777777" w:rsidR="00C04443" w:rsidRDefault="00904FF0">
      <w:pPr>
        <w:pStyle w:val="Heading1"/>
        <w:keepNext/>
        <w:shd w:val="clear" w:color="auto" w:fill="1F4E79"/>
        <w:ind w:left="120" w:right="120"/>
      </w:pPr>
      <w:r>
        <w:t>Section 2: Application &amp; Submission</w:t>
      </w:r>
    </w:p>
    <w:p w14:paraId="567D38F3" w14:textId="77777777" w:rsidR="00C04443" w:rsidRDefault="00904FF0">
      <w:pPr>
        <w:keepNext/>
        <w:keepLines/>
        <w:spacing w:before="160" w:after="40"/>
      </w:pPr>
      <w:r>
        <w:rPr>
          <w:b/>
          <w:bCs/>
          <w:color w:val="1F4E79"/>
        </w:rPr>
        <w:t>What title should we use for our application?</w:t>
      </w:r>
    </w:p>
    <w:p w14:paraId="1CFEAB08" w14:textId="77777777" w:rsidR="00C04443" w:rsidRDefault="00904FF0">
      <w:pPr>
        <w:spacing w:after="120"/>
        <w:rPr>
          <w:color w:val="222222"/>
        </w:rPr>
      </w:pPr>
      <w:r>
        <w:rPr>
          <w:color w:val="222222"/>
        </w:rPr>
        <w:t>Please use the NOFO title: “FY27 SCALE Project: Strengthening Capacity and Advancing Learner Equity in Developmental Education.”</w:t>
      </w:r>
    </w:p>
    <w:p w14:paraId="46B50C95" w14:textId="77777777" w:rsidR="007228C0" w:rsidRPr="007228C0" w:rsidRDefault="007228C0" w:rsidP="007228C0">
      <w:pPr>
        <w:spacing w:after="120"/>
        <w:rPr>
          <w:b/>
          <w:bCs/>
          <w:color w:val="0F4761" w:themeColor="accent1" w:themeShade="BF"/>
        </w:rPr>
      </w:pPr>
      <w:r w:rsidRPr="007228C0">
        <w:rPr>
          <w:b/>
          <w:bCs/>
          <w:color w:val="0F4761" w:themeColor="accent1" w:themeShade="BF"/>
        </w:rPr>
        <w:t>Is there guidance on how we should budget plan knowing the FY27 cycle would overlap the current award by 6 months?</w:t>
      </w:r>
    </w:p>
    <w:p w14:paraId="192D5AC5" w14:textId="5C0996D6" w:rsidR="007228C0" w:rsidRPr="007228C0" w:rsidRDefault="007228C0" w:rsidP="007228C0">
      <w:pPr>
        <w:spacing w:after="120"/>
      </w:pPr>
      <w:r w:rsidRPr="007228C0">
        <w:t xml:space="preserve">For the new grant application, you should ensure that proposed expenses are not already supported by another funding source. For example, if you have release time for faculty built into the FY26 grant, you should not include release time for the same faculty until 07/01/26 or after. </w:t>
      </w:r>
    </w:p>
    <w:p w14:paraId="24AF2DBF" w14:textId="66B529A3" w:rsidR="007228C0" w:rsidRPr="007228C0" w:rsidRDefault="007228C0" w:rsidP="007228C0">
      <w:pPr>
        <w:spacing w:after="120"/>
      </w:pPr>
      <w:r w:rsidRPr="007228C0">
        <w:t>Applicants may propose activities that complement, expand, or build upon existing grant-funded work and should include a brief explanation in the budget narrative describing how the proposed funding will be coordinated with existing grant resources but not overlap the funds.</w:t>
      </w:r>
    </w:p>
    <w:p w14:paraId="6F7AC20A" w14:textId="77777777" w:rsidR="007228C0" w:rsidRPr="007228C0" w:rsidRDefault="007228C0" w:rsidP="007228C0">
      <w:pPr>
        <w:spacing w:after="120"/>
        <w:rPr>
          <w:b/>
          <w:bCs/>
          <w:color w:val="0A2F41" w:themeColor="accent1" w:themeShade="80"/>
        </w:rPr>
      </w:pPr>
      <w:r w:rsidRPr="007228C0">
        <w:t>Applicants who are already receiving FY26 funds are not required to develop entirely new activities for FY27 solely because the grant periods overlap. However, the proposed budget should clearly demonstrate how funds will be used to support the objectives of the new grant without duplicating expenses</w:t>
      </w:r>
      <w:r w:rsidRPr="007228C0">
        <w:rPr>
          <w:b/>
          <w:bCs/>
          <w:color w:val="0A2F41" w:themeColor="accent1" w:themeShade="80"/>
        </w:rPr>
        <w:t>.</w:t>
      </w:r>
    </w:p>
    <w:p w14:paraId="54F0C020" w14:textId="77777777" w:rsidR="007228C0" w:rsidRDefault="007228C0" w:rsidP="007228C0">
      <w:pPr>
        <w:spacing w:after="120"/>
        <w:rPr>
          <w:b/>
          <w:bCs/>
          <w:color w:val="0A2F41" w:themeColor="accent1" w:themeShade="80"/>
        </w:rPr>
      </w:pPr>
    </w:p>
    <w:p w14:paraId="533D2206" w14:textId="77777777" w:rsidR="007228C0" w:rsidRPr="007228C0" w:rsidRDefault="007228C0" w:rsidP="007228C0">
      <w:pPr>
        <w:spacing w:after="120"/>
        <w:rPr>
          <w:b/>
          <w:bCs/>
          <w:color w:val="0A2F41" w:themeColor="accent1" w:themeShade="80"/>
        </w:rPr>
      </w:pPr>
    </w:p>
    <w:p w14:paraId="5EE35CD1" w14:textId="77777777" w:rsidR="007228C0" w:rsidRDefault="007228C0">
      <w:pPr>
        <w:spacing w:after="120"/>
      </w:pPr>
    </w:p>
    <w:p w14:paraId="70F402D5" w14:textId="77777777" w:rsidR="00C04443" w:rsidRDefault="00904FF0">
      <w:pPr>
        <w:keepNext/>
        <w:keepLines/>
        <w:spacing w:before="160" w:after="40"/>
      </w:pPr>
      <w:r>
        <w:rPr>
          <w:b/>
          <w:bCs/>
          <w:color w:val="1F4E79"/>
        </w:rPr>
        <w:lastRenderedPageBreak/>
        <w:t>Where do we upload the cover page and abstract?</w:t>
      </w:r>
    </w:p>
    <w:p w14:paraId="5C1D96AB" w14:textId="77777777" w:rsidR="00C04443" w:rsidRDefault="00904FF0">
      <w:pPr>
        <w:spacing w:after="120"/>
      </w:pPr>
      <w:r>
        <w:rPr>
          <w:color w:val="222222"/>
        </w:rPr>
        <w:t>Include the cover page and abstract in the same document as your project narrative. They will not count toward the narrative’s six-page limit.</w:t>
      </w:r>
    </w:p>
    <w:p w14:paraId="762A1089" w14:textId="77777777" w:rsidR="00C04443" w:rsidRDefault="00904FF0">
      <w:pPr>
        <w:keepNext/>
        <w:keepLines/>
        <w:spacing w:before="160" w:after="40"/>
      </w:pPr>
      <w:r>
        <w:rPr>
          <w:b/>
          <w:bCs/>
          <w:color w:val="1F4E79"/>
        </w:rPr>
        <w:t>Where can we find the budget template?</w:t>
      </w:r>
    </w:p>
    <w:p w14:paraId="46C93F9F" w14:textId="77777777" w:rsidR="00C04443" w:rsidRDefault="00904FF0">
      <w:pPr>
        <w:spacing w:after="120"/>
      </w:pPr>
      <w:r>
        <w:rPr>
          <w:color w:val="222222"/>
        </w:rPr>
        <w:t xml:space="preserve">The State of Illinois Uniform Grant Budget Template is available on the ICCB website at </w:t>
      </w:r>
      <w:hyperlink r:id="rId8" w:history="1">
        <w:r>
          <w:rPr>
            <w:color w:val="2E75B6"/>
            <w:u w:val="single"/>
          </w:rPr>
          <w:t>Grant Resources | ICCB</w:t>
        </w:r>
      </w:hyperlink>
      <w:r>
        <w:rPr>
          <w:color w:val="222222"/>
        </w:rPr>
        <w:t>.</w:t>
      </w:r>
    </w:p>
    <w:p w14:paraId="319A8750" w14:textId="77777777" w:rsidR="00C04443" w:rsidRDefault="00904FF0">
      <w:pPr>
        <w:pStyle w:val="Heading1"/>
        <w:keepNext/>
        <w:shd w:val="clear" w:color="auto" w:fill="1F4E79"/>
        <w:ind w:left="120" w:right="120"/>
      </w:pPr>
      <w:r>
        <w:t>Section 3: ICCB Contact</w:t>
      </w:r>
    </w:p>
    <w:tbl>
      <w:tblPr>
        <w:tblW w:w="9360" w:type="dxa"/>
        <w:tblLayout w:type="fixed"/>
        <w:tblLook w:val="04A0" w:firstRow="1" w:lastRow="0" w:firstColumn="1" w:lastColumn="0" w:noHBand="0" w:noVBand="1"/>
      </w:tblPr>
      <w:tblGrid>
        <w:gridCol w:w="2800"/>
        <w:gridCol w:w="6560"/>
      </w:tblGrid>
      <w:tr w:rsidR="00C04443" w14:paraId="5D218577" w14:textId="77777777">
        <w:trPr>
          <w:cantSplit/>
        </w:trPr>
        <w:tc>
          <w:tcPr>
            <w:tcW w:w="2800" w:type="dxa"/>
            <w:tcBorders>
              <w:top w:val="single" w:sz="1" w:space="0" w:color="AABDD6"/>
              <w:left w:val="single" w:sz="1" w:space="0" w:color="AABDD6"/>
              <w:bottom w:val="single" w:sz="1" w:space="0" w:color="AABDD6"/>
              <w:right w:val="single" w:sz="1" w:space="0" w:color="AABDD6"/>
            </w:tcBorders>
            <w:shd w:val="clear" w:color="auto" w:fill="D6E4F0"/>
            <w:tcMar>
              <w:top w:w="80" w:type="dxa"/>
              <w:left w:w="120" w:type="dxa"/>
              <w:bottom w:w="80" w:type="dxa"/>
              <w:right w:w="120" w:type="dxa"/>
            </w:tcMar>
          </w:tcPr>
          <w:p w14:paraId="1045C5A8" w14:textId="77777777" w:rsidR="00C04443" w:rsidRDefault="00904FF0">
            <w:r>
              <w:rPr>
                <w:b/>
                <w:bCs/>
                <w:color w:val="1F4E79"/>
              </w:rPr>
              <w:t>Grant Program Contact</w:t>
            </w:r>
          </w:p>
        </w:tc>
        <w:tc>
          <w:tcPr>
            <w:tcW w:w="6560" w:type="dxa"/>
            <w:tcBorders>
              <w:top w:val="single" w:sz="1" w:space="0" w:color="AABDD6"/>
              <w:left w:val="single" w:sz="1" w:space="0" w:color="AABDD6"/>
              <w:bottom w:val="single" w:sz="1" w:space="0" w:color="AABDD6"/>
              <w:right w:val="single" w:sz="1" w:space="0" w:color="AABDD6"/>
            </w:tcBorders>
            <w:tcMar>
              <w:top w:w="80" w:type="dxa"/>
              <w:left w:w="120" w:type="dxa"/>
              <w:bottom w:w="80" w:type="dxa"/>
              <w:right w:w="120" w:type="dxa"/>
            </w:tcMar>
          </w:tcPr>
          <w:p w14:paraId="5FBC7D58" w14:textId="77777777" w:rsidR="00C04443" w:rsidRDefault="00904FF0">
            <w:r>
              <w:rPr>
                <w:color w:val="222222"/>
              </w:rPr>
              <w:t>Mackenzie Montgomery, Director for Student Success</w:t>
            </w:r>
          </w:p>
        </w:tc>
      </w:tr>
      <w:tr w:rsidR="00C04443" w14:paraId="535D3422" w14:textId="77777777">
        <w:trPr>
          <w:cantSplit/>
        </w:trPr>
        <w:tc>
          <w:tcPr>
            <w:tcW w:w="2800" w:type="dxa"/>
            <w:tcBorders>
              <w:top w:val="single" w:sz="1" w:space="0" w:color="AABDD6"/>
              <w:left w:val="single" w:sz="1" w:space="0" w:color="AABDD6"/>
              <w:bottom w:val="single" w:sz="1" w:space="0" w:color="AABDD6"/>
              <w:right w:val="single" w:sz="1" w:space="0" w:color="AABDD6"/>
            </w:tcBorders>
            <w:shd w:val="clear" w:color="auto" w:fill="D6E4F0"/>
            <w:tcMar>
              <w:top w:w="80" w:type="dxa"/>
              <w:left w:w="120" w:type="dxa"/>
              <w:bottom w:w="80" w:type="dxa"/>
              <w:right w:w="120" w:type="dxa"/>
            </w:tcMar>
          </w:tcPr>
          <w:p w14:paraId="6A0A00AB" w14:textId="77777777" w:rsidR="00C04443" w:rsidRDefault="00904FF0">
            <w:r>
              <w:rPr>
                <w:b/>
                <w:bCs/>
                <w:color w:val="1F4E79"/>
              </w:rPr>
              <w:t>Email</w:t>
            </w:r>
          </w:p>
        </w:tc>
        <w:tc>
          <w:tcPr>
            <w:tcW w:w="6560" w:type="dxa"/>
            <w:tcBorders>
              <w:top w:val="single" w:sz="1" w:space="0" w:color="AABDD6"/>
              <w:left w:val="single" w:sz="1" w:space="0" w:color="AABDD6"/>
              <w:bottom w:val="single" w:sz="1" w:space="0" w:color="AABDD6"/>
              <w:right w:val="single" w:sz="1" w:space="0" w:color="AABDD6"/>
            </w:tcBorders>
            <w:tcMar>
              <w:top w:w="80" w:type="dxa"/>
              <w:left w:w="120" w:type="dxa"/>
              <w:bottom w:w="80" w:type="dxa"/>
              <w:right w:w="120" w:type="dxa"/>
            </w:tcMar>
          </w:tcPr>
          <w:p w14:paraId="1CC8832E" w14:textId="77777777" w:rsidR="00C04443" w:rsidRDefault="00904FF0">
            <w:r>
              <w:rPr>
                <w:color w:val="222222"/>
              </w:rPr>
              <w:t>mackenzie.montgomery@illinois.gov</w:t>
            </w:r>
          </w:p>
        </w:tc>
      </w:tr>
      <w:tr w:rsidR="00C04443" w14:paraId="421954EC" w14:textId="77777777">
        <w:trPr>
          <w:cantSplit/>
        </w:trPr>
        <w:tc>
          <w:tcPr>
            <w:tcW w:w="2800" w:type="dxa"/>
            <w:tcBorders>
              <w:top w:val="single" w:sz="1" w:space="0" w:color="AABDD6"/>
              <w:left w:val="single" w:sz="1" w:space="0" w:color="AABDD6"/>
              <w:bottom w:val="single" w:sz="1" w:space="0" w:color="AABDD6"/>
              <w:right w:val="single" w:sz="1" w:space="0" w:color="AABDD6"/>
            </w:tcBorders>
            <w:shd w:val="clear" w:color="auto" w:fill="D6E4F0"/>
            <w:tcMar>
              <w:top w:w="80" w:type="dxa"/>
              <w:left w:w="120" w:type="dxa"/>
              <w:bottom w:w="80" w:type="dxa"/>
              <w:right w:w="120" w:type="dxa"/>
            </w:tcMar>
          </w:tcPr>
          <w:p w14:paraId="39A5CD93" w14:textId="77777777" w:rsidR="00C04443" w:rsidRDefault="00904FF0">
            <w:r>
              <w:rPr>
                <w:b/>
                <w:bCs/>
                <w:color w:val="1F4E79"/>
              </w:rPr>
              <w:t>Phone</w:t>
            </w:r>
          </w:p>
        </w:tc>
        <w:tc>
          <w:tcPr>
            <w:tcW w:w="6560" w:type="dxa"/>
            <w:tcBorders>
              <w:top w:val="single" w:sz="1" w:space="0" w:color="AABDD6"/>
              <w:left w:val="single" w:sz="1" w:space="0" w:color="AABDD6"/>
              <w:bottom w:val="single" w:sz="1" w:space="0" w:color="AABDD6"/>
              <w:right w:val="single" w:sz="1" w:space="0" w:color="AABDD6"/>
            </w:tcBorders>
            <w:tcMar>
              <w:top w:w="80" w:type="dxa"/>
              <w:left w:w="120" w:type="dxa"/>
              <w:bottom w:w="80" w:type="dxa"/>
              <w:right w:w="120" w:type="dxa"/>
            </w:tcMar>
          </w:tcPr>
          <w:p w14:paraId="28CC5659" w14:textId="77777777" w:rsidR="00C04443" w:rsidRDefault="00904FF0">
            <w:r>
              <w:rPr>
                <w:color w:val="222222"/>
              </w:rPr>
              <w:t>(217) 557-7119</w:t>
            </w:r>
          </w:p>
        </w:tc>
      </w:tr>
      <w:tr w:rsidR="00C04443" w14:paraId="058D2E22" w14:textId="77777777">
        <w:trPr>
          <w:cantSplit/>
        </w:trPr>
        <w:tc>
          <w:tcPr>
            <w:tcW w:w="2800" w:type="dxa"/>
            <w:tcBorders>
              <w:top w:val="single" w:sz="1" w:space="0" w:color="AABDD6"/>
              <w:left w:val="single" w:sz="1" w:space="0" w:color="AABDD6"/>
              <w:bottom w:val="single" w:sz="1" w:space="0" w:color="AABDD6"/>
              <w:right w:val="single" w:sz="1" w:space="0" w:color="AABDD6"/>
            </w:tcBorders>
            <w:shd w:val="clear" w:color="auto" w:fill="D6E4F0"/>
            <w:tcMar>
              <w:top w:w="80" w:type="dxa"/>
              <w:left w:w="120" w:type="dxa"/>
              <w:bottom w:w="80" w:type="dxa"/>
              <w:right w:w="120" w:type="dxa"/>
            </w:tcMar>
          </w:tcPr>
          <w:p w14:paraId="60DBAB3D" w14:textId="77777777" w:rsidR="00C04443" w:rsidRDefault="00904FF0">
            <w:r>
              <w:rPr>
                <w:b/>
                <w:bCs/>
                <w:color w:val="1F4E79"/>
              </w:rPr>
              <w:t>Questions for the FAQ</w:t>
            </w:r>
          </w:p>
        </w:tc>
        <w:tc>
          <w:tcPr>
            <w:tcW w:w="6560" w:type="dxa"/>
            <w:tcBorders>
              <w:top w:val="single" w:sz="1" w:space="0" w:color="AABDD6"/>
              <w:left w:val="single" w:sz="1" w:space="0" w:color="AABDD6"/>
              <w:bottom w:val="single" w:sz="1" w:space="0" w:color="AABDD6"/>
              <w:right w:val="single" w:sz="1" w:space="0" w:color="AABDD6"/>
            </w:tcBorders>
            <w:tcMar>
              <w:top w:w="80" w:type="dxa"/>
              <w:left w:w="120" w:type="dxa"/>
              <w:bottom w:w="80" w:type="dxa"/>
              <w:right w:w="120" w:type="dxa"/>
            </w:tcMar>
          </w:tcPr>
          <w:p w14:paraId="66452444" w14:textId="77777777" w:rsidR="00C04443" w:rsidRDefault="00904FF0">
            <w:r>
              <w:rPr>
                <w:color w:val="222222"/>
              </w:rPr>
              <w:t>iccb.studentservices@illinois.gov</w:t>
            </w:r>
          </w:p>
        </w:tc>
      </w:tr>
    </w:tbl>
    <w:p w14:paraId="142F7145" w14:textId="77777777" w:rsidR="00C04443" w:rsidRDefault="00C04443">
      <w:pPr>
        <w:spacing w:before="80"/>
      </w:pPr>
    </w:p>
    <w:sectPr w:rsidR="00C04443">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B4A7F" w14:textId="77777777" w:rsidR="001A36C8" w:rsidRDefault="001A36C8">
      <w:r>
        <w:separator/>
      </w:r>
    </w:p>
  </w:endnote>
  <w:endnote w:type="continuationSeparator" w:id="0">
    <w:p w14:paraId="4DFF4A14" w14:textId="77777777" w:rsidR="001A36C8" w:rsidRDefault="001A3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0D19" w14:textId="77777777" w:rsidR="00A4394B" w:rsidRDefault="00221DAB">
    <w:pPr>
      <w:pBdr>
        <w:top w:val="single" w:sz="4" w:space="0" w:color="2E75B6"/>
      </w:pBdr>
      <w:spacing w:before="80"/>
    </w:pPr>
    <w:r>
      <w:rPr>
        <w:color w:val="666666"/>
        <w:sz w:val="16"/>
        <w:szCs w:val="16"/>
      </w:rPr>
      <w:t xml:space="preserve">Illinois Community College </w:t>
    </w:r>
    <w:proofErr w:type="gramStart"/>
    <w:r>
      <w:rPr>
        <w:color w:val="666666"/>
        <w:sz w:val="16"/>
        <w:szCs w:val="16"/>
      </w:rPr>
      <w:t>Board  |</w:t>
    </w:r>
    <w:proofErr w:type="gramEnd"/>
    <w:r>
      <w:rPr>
        <w:color w:val="666666"/>
        <w:sz w:val="16"/>
        <w:szCs w:val="16"/>
      </w:rPr>
      <w:t xml:space="preserve">  </w:t>
    </w:r>
    <w:proofErr w:type="gramStart"/>
    <w:r>
      <w:rPr>
        <w:color w:val="666666"/>
        <w:sz w:val="16"/>
        <w:szCs w:val="16"/>
      </w:rPr>
      <w:t>iccb.studentservices@illinois.gov  |</w:t>
    </w:r>
    <w:proofErr w:type="gramEnd"/>
    <w:r>
      <w:rPr>
        <w:color w:val="666666"/>
        <w:sz w:val="16"/>
        <w:szCs w:val="16"/>
      </w:rPr>
      <w:t xml:space="preserve">  </w:t>
    </w:r>
    <w:proofErr w:type="gramStart"/>
    <w:r>
      <w:rPr>
        <w:color w:val="666666"/>
        <w:sz w:val="16"/>
        <w:szCs w:val="16"/>
      </w:rPr>
      <w:t>www.iccb.org  |</w:t>
    </w:r>
    <w:proofErr w:type="gramEnd"/>
    <w:r>
      <w:rPr>
        <w:color w:val="666666"/>
        <w:sz w:val="16"/>
        <w:szCs w:val="16"/>
      </w:rPr>
      <w:t xml:space="preserve">  Page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49DE0" w14:textId="77777777" w:rsidR="001A36C8" w:rsidRDefault="001A36C8">
      <w:r>
        <w:separator/>
      </w:r>
    </w:p>
  </w:footnote>
  <w:footnote w:type="continuationSeparator" w:id="0">
    <w:p w14:paraId="4766127D" w14:textId="77777777" w:rsidR="001A36C8" w:rsidRDefault="001A3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72AE" w14:textId="77777777" w:rsidR="00A4394B" w:rsidRDefault="00221DAB">
    <w:pPr>
      <w:shd w:val="clear" w:color="auto" w:fill="1F4E79"/>
      <w:spacing w:after="100"/>
    </w:pPr>
    <w:r>
      <w:rPr>
        <w:b/>
        <w:bCs/>
        <w:color w:val="FFFFFF"/>
        <w:sz w:val="18"/>
        <w:szCs w:val="18"/>
      </w:rPr>
      <w:t xml:space="preserve">FY27 SCALE Project Grant </w:t>
    </w:r>
    <w:r w:rsidR="00B839E4">
      <w:rPr>
        <w:b/>
        <w:bCs/>
        <w:color w:val="FFFFFF"/>
        <w:sz w:val="18"/>
        <w:szCs w:val="18"/>
      </w:rPr>
      <w:t>| Frequently Asked</w:t>
    </w:r>
    <w:r>
      <w:rPr>
        <w:b/>
        <w:bCs/>
        <w:color w:val="FFFFFF"/>
        <w:sz w:val="18"/>
        <w:szCs w:val="18"/>
      </w:rPr>
      <w:t xml:space="preserve">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5A276C"/>
    <w:multiLevelType w:val="hybridMultilevel"/>
    <w:tmpl w:val="1D84A01A"/>
    <w:lvl w:ilvl="0" w:tplc="A1E08920">
      <w:start w:val="1"/>
      <w:numFmt w:val="bullet"/>
      <w:lvlText w:val="•"/>
      <w:lvlJc w:val="left"/>
      <w:pPr>
        <w:ind w:left="720" w:hanging="360"/>
      </w:pPr>
    </w:lvl>
    <w:lvl w:ilvl="1" w:tplc="253AA80A">
      <w:numFmt w:val="decimal"/>
      <w:lvlText w:val=""/>
      <w:lvlJc w:val="left"/>
    </w:lvl>
    <w:lvl w:ilvl="2" w:tplc="1804A2EC">
      <w:numFmt w:val="decimal"/>
      <w:lvlText w:val=""/>
      <w:lvlJc w:val="left"/>
    </w:lvl>
    <w:lvl w:ilvl="3" w:tplc="C5B2B4F4">
      <w:numFmt w:val="decimal"/>
      <w:lvlText w:val=""/>
      <w:lvlJc w:val="left"/>
    </w:lvl>
    <w:lvl w:ilvl="4" w:tplc="7F5C792A">
      <w:numFmt w:val="decimal"/>
      <w:lvlText w:val=""/>
      <w:lvlJc w:val="left"/>
    </w:lvl>
    <w:lvl w:ilvl="5" w:tplc="A8E0210E">
      <w:numFmt w:val="decimal"/>
      <w:lvlText w:val=""/>
      <w:lvlJc w:val="left"/>
    </w:lvl>
    <w:lvl w:ilvl="6" w:tplc="71EE176E">
      <w:numFmt w:val="decimal"/>
      <w:lvlText w:val=""/>
      <w:lvlJc w:val="left"/>
    </w:lvl>
    <w:lvl w:ilvl="7" w:tplc="17A09610">
      <w:numFmt w:val="decimal"/>
      <w:lvlText w:val=""/>
      <w:lvlJc w:val="left"/>
    </w:lvl>
    <w:lvl w:ilvl="8" w:tplc="7F704808">
      <w:numFmt w:val="decimal"/>
      <w:lvlText w:val=""/>
      <w:lvlJc w:val="left"/>
    </w:lvl>
  </w:abstractNum>
  <w:abstractNum w:abstractNumId="1" w15:restartNumberingAfterBreak="0">
    <w:nsid w:val="5FFF1415"/>
    <w:multiLevelType w:val="hybridMultilevel"/>
    <w:tmpl w:val="1E24B834"/>
    <w:lvl w:ilvl="0" w:tplc="53EC1404">
      <w:start w:val="1"/>
      <w:numFmt w:val="bullet"/>
      <w:lvlText w:val="●"/>
      <w:lvlJc w:val="left"/>
      <w:pPr>
        <w:ind w:left="720" w:hanging="360"/>
      </w:pPr>
    </w:lvl>
    <w:lvl w:ilvl="1" w:tplc="228CA122">
      <w:start w:val="1"/>
      <w:numFmt w:val="bullet"/>
      <w:lvlText w:val="○"/>
      <w:lvlJc w:val="left"/>
      <w:pPr>
        <w:ind w:left="1440" w:hanging="360"/>
      </w:pPr>
    </w:lvl>
    <w:lvl w:ilvl="2" w:tplc="0922D4B4">
      <w:start w:val="1"/>
      <w:numFmt w:val="bullet"/>
      <w:lvlText w:val="■"/>
      <w:lvlJc w:val="left"/>
      <w:pPr>
        <w:ind w:left="2160" w:hanging="360"/>
      </w:pPr>
    </w:lvl>
    <w:lvl w:ilvl="3" w:tplc="830A9E16">
      <w:start w:val="1"/>
      <w:numFmt w:val="bullet"/>
      <w:lvlText w:val="●"/>
      <w:lvlJc w:val="left"/>
      <w:pPr>
        <w:ind w:left="2880" w:hanging="360"/>
      </w:pPr>
    </w:lvl>
    <w:lvl w:ilvl="4" w:tplc="3A7281A6">
      <w:start w:val="1"/>
      <w:numFmt w:val="bullet"/>
      <w:lvlText w:val="○"/>
      <w:lvlJc w:val="left"/>
      <w:pPr>
        <w:ind w:left="3600" w:hanging="360"/>
      </w:pPr>
    </w:lvl>
    <w:lvl w:ilvl="5" w:tplc="501A7C0A">
      <w:start w:val="1"/>
      <w:numFmt w:val="bullet"/>
      <w:lvlText w:val="■"/>
      <w:lvlJc w:val="left"/>
      <w:pPr>
        <w:ind w:left="4320" w:hanging="360"/>
      </w:pPr>
    </w:lvl>
    <w:lvl w:ilvl="6" w:tplc="FAB46D02">
      <w:start w:val="1"/>
      <w:numFmt w:val="bullet"/>
      <w:lvlText w:val="●"/>
      <w:lvlJc w:val="left"/>
      <w:pPr>
        <w:ind w:left="5040" w:hanging="360"/>
      </w:pPr>
    </w:lvl>
    <w:lvl w:ilvl="7" w:tplc="5DE8FB50">
      <w:start w:val="1"/>
      <w:numFmt w:val="bullet"/>
      <w:lvlText w:val="●"/>
      <w:lvlJc w:val="left"/>
      <w:pPr>
        <w:ind w:left="5760" w:hanging="360"/>
      </w:pPr>
    </w:lvl>
    <w:lvl w:ilvl="8" w:tplc="B954580A">
      <w:start w:val="1"/>
      <w:numFmt w:val="bullet"/>
      <w:lvlText w:val="●"/>
      <w:lvlJc w:val="left"/>
      <w:pPr>
        <w:ind w:left="6480" w:hanging="360"/>
      </w:pPr>
    </w:lvl>
  </w:abstractNum>
  <w:num w:numId="1" w16cid:durableId="46065502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94B"/>
    <w:rsid w:val="00037385"/>
    <w:rsid w:val="001A36C8"/>
    <w:rsid w:val="00221DAB"/>
    <w:rsid w:val="00291434"/>
    <w:rsid w:val="002E7768"/>
    <w:rsid w:val="003B323D"/>
    <w:rsid w:val="003E31A3"/>
    <w:rsid w:val="00456924"/>
    <w:rsid w:val="004724BE"/>
    <w:rsid w:val="004B2802"/>
    <w:rsid w:val="00652B16"/>
    <w:rsid w:val="00660FAA"/>
    <w:rsid w:val="006640BB"/>
    <w:rsid w:val="0069377A"/>
    <w:rsid w:val="007115D5"/>
    <w:rsid w:val="0072199D"/>
    <w:rsid w:val="007228C0"/>
    <w:rsid w:val="0085792B"/>
    <w:rsid w:val="00884AB6"/>
    <w:rsid w:val="008F156D"/>
    <w:rsid w:val="00904FF0"/>
    <w:rsid w:val="0093763F"/>
    <w:rsid w:val="009A6AF7"/>
    <w:rsid w:val="00A126C6"/>
    <w:rsid w:val="00A36618"/>
    <w:rsid w:val="00A4394B"/>
    <w:rsid w:val="00B839E4"/>
    <w:rsid w:val="00BC5B75"/>
    <w:rsid w:val="00C04443"/>
    <w:rsid w:val="00C96713"/>
    <w:rsid w:val="00DB3117"/>
    <w:rsid w:val="00E063EA"/>
    <w:rsid w:val="00E83BF6"/>
    <w:rsid w:val="00ED0213"/>
    <w:rsid w:val="00F47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7FC09"/>
  <w15:docId w15:val="{EC9351E2-46E0-4AA9-817A-5AC04DB37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FFFFFF"/>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839E4"/>
    <w:pPr>
      <w:tabs>
        <w:tab w:val="center" w:pos="4680"/>
        <w:tab w:val="right" w:pos="9360"/>
      </w:tabs>
    </w:pPr>
  </w:style>
  <w:style w:type="character" w:customStyle="1" w:styleId="HeaderChar">
    <w:name w:val="Header Char"/>
    <w:basedOn w:val="DefaultParagraphFont"/>
    <w:link w:val="Header"/>
    <w:uiPriority w:val="99"/>
    <w:rsid w:val="00B839E4"/>
  </w:style>
  <w:style w:type="paragraph" w:styleId="Footer">
    <w:name w:val="footer"/>
    <w:basedOn w:val="Normal"/>
    <w:link w:val="FooterChar"/>
    <w:uiPriority w:val="99"/>
    <w:unhideWhenUsed/>
    <w:rsid w:val="00B839E4"/>
    <w:pPr>
      <w:tabs>
        <w:tab w:val="center" w:pos="4680"/>
        <w:tab w:val="right" w:pos="9360"/>
      </w:tabs>
    </w:pPr>
  </w:style>
  <w:style w:type="character" w:customStyle="1" w:styleId="FooterChar">
    <w:name w:val="Footer Char"/>
    <w:basedOn w:val="DefaultParagraphFont"/>
    <w:link w:val="Footer"/>
    <w:uiPriority w:val="99"/>
    <w:rsid w:val="00B839E4"/>
  </w:style>
  <w:style w:type="character" w:styleId="CommentReference">
    <w:name w:val="annotation reference"/>
    <w:basedOn w:val="DefaultParagraphFont"/>
    <w:uiPriority w:val="99"/>
    <w:semiHidden/>
    <w:unhideWhenUsed/>
    <w:rsid w:val="00291434"/>
    <w:rPr>
      <w:sz w:val="16"/>
      <w:szCs w:val="16"/>
    </w:rPr>
  </w:style>
  <w:style w:type="paragraph" w:styleId="CommentText">
    <w:name w:val="annotation text"/>
    <w:basedOn w:val="Normal"/>
    <w:link w:val="CommentTextChar"/>
    <w:uiPriority w:val="99"/>
    <w:unhideWhenUsed/>
    <w:rsid w:val="00291434"/>
  </w:style>
  <w:style w:type="character" w:customStyle="1" w:styleId="CommentTextChar">
    <w:name w:val="Comment Text Char"/>
    <w:basedOn w:val="DefaultParagraphFont"/>
    <w:link w:val="CommentText"/>
    <w:uiPriority w:val="99"/>
    <w:rsid w:val="00291434"/>
  </w:style>
  <w:style w:type="paragraph" w:styleId="CommentSubject">
    <w:name w:val="annotation subject"/>
    <w:basedOn w:val="CommentText"/>
    <w:next w:val="CommentText"/>
    <w:link w:val="CommentSubjectChar"/>
    <w:uiPriority w:val="99"/>
    <w:semiHidden/>
    <w:unhideWhenUsed/>
    <w:rsid w:val="00291434"/>
    <w:rPr>
      <w:b/>
      <w:bCs/>
    </w:rPr>
  </w:style>
  <w:style w:type="character" w:customStyle="1" w:styleId="CommentSubjectChar">
    <w:name w:val="Comment Subject Char"/>
    <w:basedOn w:val="CommentTextChar"/>
    <w:link w:val="CommentSubject"/>
    <w:uiPriority w:val="99"/>
    <w:semiHidden/>
    <w:rsid w:val="00291434"/>
    <w:rPr>
      <w:b/>
      <w:bCs/>
    </w:rPr>
  </w:style>
  <w:style w:type="character" w:styleId="UnresolvedMention">
    <w:name w:val="Unresolved Mention"/>
    <w:basedOn w:val="DefaultParagraphFont"/>
    <w:uiPriority w:val="99"/>
    <w:semiHidden/>
    <w:unhideWhenUsed/>
    <w:rsid w:val="004569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ccb.org/grants/grant-resources/" TargetMode="External"/><Relationship Id="rId3" Type="http://schemas.openxmlformats.org/officeDocument/2006/relationships/settings" Target="settings.xml"/><Relationship Id="rId7" Type="http://schemas.openxmlformats.org/officeDocument/2006/relationships/hyperlink" Target="mailto:iccb.studentservices@illinois.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Montgomery, Mackenzie</cp:lastModifiedBy>
  <cp:revision>3</cp:revision>
  <dcterms:created xsi:type="dcterms:W3CDTF">2026-10-22T14:52:00Z</dcterms:created>
  <dcterms:modified xsi:type="dcterms:W3CDTF">2026-10-27T17:58:00Z</dcterms:modified>
</cp:coreProperties>
</file>