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15B398" w14:textId="1DA9768B" w:rsidR="00825C50" w:rsidRPr="00825C50" w:rsidRDefault="00825C50" w:rsidP="00825C50">
      <w:pPr>
        <w:ind w:left="360"/>
        <w:rPr>
          <w:rFonts w:eastAsia="Times New Roman"/>
          <w:b/>
          <w:bCs/>
          <w:color w:val="000000"/>
          <w:sz w:val="28"/>
          <w:szCs w:val="28"/>
          <w:u w:val="single"/>
        </w:rPr>
      </w:pPr>
      <w:r>
        <w:rPr>
          <w:rFonts w:eastAsia="Times New Roman"/>
          <w:b/>
          <w:bCs/>
          <w:color w:val="000000"/>
        </w:rPr>
        <w:t xml:space="preserve">                                                </w:t>
      </w:r>
      <w:r w:rsidRPr="00825C50">
        <w:rPr>
          <w:rFonts w:eastAsia="Times New Roman"/>
          <w:b/>
          <w:bCs/>
          <w:color w:val="000000"/>
          <w:sz w:val="28"/>
          <w:szCs w:val="28"/>
          <w:u w:val="single"/>
        </w:rPr>
        <w:t>FY27 APC 507 AEFLA Grant:</w:t>
      </w:r>
    </w:p>
    <w:p w14:paraId="5B933617" w14:textId="77777777" w:rsidR="00825C50" w:rsidRDefault="00825C50" w:rsidP="00825C50">
      <w:pPr>
        <w:ind w:left="360"/>
        <w:rPr>
          <w:rFonts w:eastAsia="Times New Roman"/>
          <w:b/>
          <w:bCs/>
          <w:color w:val="000000"/>
        </w:rPr>
      </w:pPr>
    </w:p>
    <w:p w14:paraId="710A8420" w14:textId="77777777" w:rsidR="00030F30" w:rsidRPr="00030F30" w:rsidRDefault="00030F30" w:rsidP="00030F30">
      <w:pPr>
        <w:pStyle w:val="NormalWeb"/>
        <w:spacing w:before="0" w:beforeAutospacing="0" w:after="210" w:afterAutospacing="0"/>
        <w:rPr>
          <w:rFonts w:asciiTheme="minorHAnsi" w:hAnsiTheme="minorHAnsi" w:cs="Times New Roman"/>
        </w:rPr>
      </w:pPr>
      <w:r w:rsidRPr="00030F30">
        <w:rPr>
          <w:rFonts w:asciiTheme="minorHAnsi" w:hAnsiTheme="minorHAnsi" w:cs="Times New Roman"/>
          <w:b/>
          <w:bCs/>
        </w:rPr>
        <w:t>1. Can a for-profit employer or workforce development organization participate in an eligible-provider partnership or consortium? Can it operate the program and receive grant funds?</w:t>
      </w:r>
    </w:p>
    <w:p w14:paraId="3B7BB962" w14:textId="77777777" w:rsidR="00030F30" w:rsidRPr="00030F30" w:rsidRDefault="00030F30" w:rsidP="00030F30">
      <w:pPr>
        <w:pStyle w:val="NormalWeb"/>
        <w:spacing w:before="0" w:beforeAutospacing="0" w:after="180" w:afterAutospacing="0"/>
        <w:rPr>
          <w:rFonts w:asciiTheme="minorHAnsi" w:hAnsiTheme="minorHAnsi"/>
        </w:rPr>
      </w:pPr>
      <w:r w:rsidRPr="00030F30">
        <w:rPr>
          <w:rFonts w:asciiTheme="minorHAnsi" w:hAnsiTheme="minorHAnsi" w:cs="Times New Roman"/>
          <w:b/>
          <w:bCs/>
        </w:rPr>
        <w:t>Answer:</w:t>
      </w:r>
      <w:r w:rsidRPr="00030F30">
        <w:rPr>
          <w:rFonts w:asciiTheme="minorHAnsi" w:hAnsiTheme="minorHAnsi" w:cs="Times New Roman"/>
        </w:rPr>
        <w:t xml:space="preserve"> A for-profit entity </w:t>
      </w:r>
      <w:r w:rsidRPr="00030F30">
        <w:rPr>
          <w:rFonts w:asciiTheme="minorHAnsi" w:hAnsiTheme="minorHAnsi" w:cs="Times New Roman"/>
          <w:b/>
          <w:bCs/>
        </w:rPr>
        <w:t>by itself is not one of the eligible-provider categories listed in 34 CFR §463.23</w:t>
      </w:r>
      <w:r w:rsidRPr="00030F30">
        <w:rPr>
          <w:rFonts w:asciiTheme="minorHAnsi" w:hAnsiTheme="minorHAnsi" w:cs="Times New Roman"/>
        </w:rPr>
        <w:t xml:space="preserve">. However, §463.23(j) expressly allows a </w:t>
      </w:r>
      <w:r w:rsidRPr="00030F30">
        <w:rPr>
          <w:rFonts w:asciiTheme="minorHAnsi" w:hAnsiTheme="minorHAnsi" w:cs="Times New Roman"/>
          <w:b/>
          <w:bCs/>
        </w:rPr>
        <w:t>partnership between an employer and an otherwise eligible entity</w:t>
      </w:r>
      <w:r w:rsidRPr="00030F30">
        <w:rPr>
          <w:rFonts w:asciiTheme="minorHAnsi" w:hAnsiTheme="minorHAnsi" w:cs="Times New Roman"/>
        </w:rPr>
        <w:t>. A consortium/coalition under §463.23(</w:t>
      </w:r>
      <w:proofErr w:type="spellStart"/>
      <w:r w:rsidRPr="00030F30">
        <w:rPr>
          <w:rFonts w:asciiTheme="minorHAnsi" w:hAnsiTheme="minorHAnsi" w:cs="Times New Roman"/>
        </w:rPr>
        <w:t>i</w:t>
      </w:r>
      <w:proofErr w:type="spellEnd"/>
      <w:r w:rsidRPr="00030F30">
        <w:rPr>
          <w:rFonts w:asciiTheme="minorHAnsi" w:hAnsiTheme="minorHAnsi" w:cs="Times New Roman"/>
        </w:rPr>
        <w:t>), however, is composed of the eligible organizations described in paragraphs (a)–(h). </w:t>
      </w:r>
    </w:p>
    <w:p w14:paraId="3A2A99B0" w14:textId="43CE0103" w:rsidR="00030F30" w:rsidRPr="00030F30" w:rsidRDefault="00030F30" w:rsidP="00030F30">
      <w:pPr>
        <w:pStyle w:val="NormalWeb"/>
        <w:spacing w:before="0" w:beforeAutospacing="0" w:after="180" w:afterAutospacing="0"/>
        <w:rPr>
          <w:rFonts w:asciiTheme="minorHAnsi" w:hAnsiTheme="minorHAnsi"/>
        </w:rPr>
      </w:pPr>
      <w:r w:rsidRPr="00030F30">
        <w:rPr>
          <w:rFonts w:asciiTheme="minorHAnsi" w:hAnsiTheme="minorHAnsi" w:cs="Times New Roman"/>
        </w:rPr>
        <w:t xml:space="preserve">For this APC 507 competition, the lead applicant must be an eligible provider and, under the NOFO, is responsible for </w:t>
      </w:r>
      <w:r w:rsidRPr="00030F30">
        <w:rPr>
          <w:rFonts w:asciiTheme="minorHAnsi" w:hAnsiTheme="minorHAnsi" w:cs="Times New Roman"/>
          <w:b/>
          <w:bCs/>
        </w:rPr>
        <w:t>fiscal, programming, and data accountability</w:t>
      </w:r>
      <w:r w:rsidRPr="00030F30">
        <w:rPr>
          <w:rFonts w:asciiTheme="minorHAnsi" w:hAnsiTheme="minorHAnsi" w:cs="Times New Roman"/>
        </w:rPr>
        <w:t xml:space="preserve"> for the consortium. A partner may perform program services under an approved contractual or subgrant arrangement when permitted, but that arrangement </w:t>
      </w:r>
      <w:r w:rsidRPr="00030F30">
        <w:rPr>
          <w:rFonts w:asciiTheme="minorHAnsi" w:hAnsiTheme="minorHAnsi" w:cs="Times New Roman"/>
          <w:b/>
          <w:bCs/>
        </w:rPr>
        <w:t>does not transfer the grantee’s responsibility</w:t>
      </w:r>
      <w:r w:rsidRPr="00030F30">
        <w:rPr>
          <w:rFonts w:asciiTheme="minorHAnsi" w:hAnsiTheme="minorHAnsi" w:cs="Times New Roman"/>
        </w:rPr>
        <w:t xml:space="preserve"> to the partner. The NOFO specifically states that a funded provider may enter into a sub-grantee agreement with another </w:t>
      </w:r>
      <w:r w:rsidRPr="00030F30">
        <w:rPr>
          <w:rFonts w:asciiTheme="minorHAnsi" w:hAnsiTheme="minorHAnsi" w:cs="Times New Roman"/>
          <w:b/>
          <w:bCs/>
        </w:rPr>
        <w:t>eligible entity</w:t>
      </w:r>
      <w:r w:rsidRPr="00030F30">
        <w:rPr>
          <w:rFonts w:asciiTheme="minorHAnsi" w:hAnsiTheme="minorHAnsi" w:cs="Times New Roman"/>
        </w:rPr>
        <w:t>, subject to ICCB review and approval, while the funded provider retains all program responsibilities. </w:t>
      </w:r>
      <w:r>
        <w:rPr>
          <w:rFonts w:asciiTheme="minorHAnsi" w:hAnsiTheme="minorHAnsi"/>
        </w:rPr>
        <w:t>B</w:t>
      </w:r>
      <w:r w:rsidRPr="00030F30">
        <w:rPr>
          <w:rFonts w:asciiTheme="minorHAnsi" w:hAnsiTheme="minorHAnsi" w:cs="Times New Roman"/>
          <w:b/>
          <w:bCs/>
        </w:rPr>
        <w:t xml:space="preserve">roadly </w:t>
      </w:r>
      <w:r>
        <w:rPr>
          <w:rFonts w:asciiTheme="minorHAnsi" w:hAnsiTheme="minorHAnsi" w:cs="Times New Roman"/>
          <w:b/>
          <w:bCs/>
        </w:rPr>
        <w:t xml:space="preserve">it does not mean </w:t>
      </w:r>
      <w:r w:rsidRPr="00030F30">
        <w:rPr>
          <w:rFonts w:asciiTheme="minorHAnsi" w:hAnsiTheme="minorHAnsi" w:cs="Times New Roman"/>
          <w:b/>
          <w:bCs/>
        </w:rPr>
        <w:t>that a for-profit can be a “consortium member” or “subgrantee.”</w:t>
      </w:r>
      <w:r w:rsidRPr="00030F30">
        <w:rPr>
          <w:rFonts w:asciiTheme="minorHAnsi" w:hAnsiTheme="minorHAnsi" w:cs="Times New Roman"/>
        </w:rPr>
        <w:t xml:space="preserve"> Federal regulation clearly permits an </w:t>
      </w:r>
      <w:r w:rsidRPr="00030F30">
        <w:rPr>
          <w:rFonts w:asciiTheme="minorHAnsi" w:hAnsiTheme="minorHAnsi" w:cs="Times New Roman"/>
          <w:i/>
          <w:iCs/>
        </w:rPr>
        <w:t>employer partnership</w:t>
      </w:r>
      <w:r w:rsidRPr="00030F30">
        <w:rPr>
          <w:rFonts w:asciiTheme="minorHAnsi" w:hAnsiTheme="minorHAnsi" w:cs="Times New Roman"/>
        </w:rPr>
        <w:t xml:space="preserve"> with an eligible entity, but the APC 507 NOFO limits subgrantee arrangements to another </w:t>
      </w:r>
      <w:r w:rsidRPr="00030F30">
        <w:rPr>
          <w:rFonts w:asciiTheme="minorHAnsi" w:hAnsiTheme="minorHAnsi" w:cs="Times New Roman"/>
          <w:b/>
          <w:bCs/>
        </w:rPr>
        <w:t>eligible entity</w:t>
      </w:r>
      <w:r w:rsidRPr="00030F30">
        <w:rPr>
          <w:rFonts w:asciiTheme="minorHAnsi" w:hAnsiTheme="minorHAnsi" w:cs="Times New Roman"/>
        </w:rPr>
        <w:t>.</w:t>
      </w:r>
    </w:p>
    <w:p w14:paraId="0F56B993" w14:textId="77777777" w:rsidR="00030F30" w:rsidRPr="00030F30" w:rsidRDefault="00030F30" w:rsidP="00030F30">
      <w:pPr>
        <w:pStyle w:val="NormalWeb"/>
        <w:spacing w:before="0" w:beforeAutospacing="0" w:after="0" w:afterAutospacing="0"/>
        <w:rPr>
          <w:rFonts w:asciiTheme="minorHAnsi" w:hAnsiTheme="minorHAnsi" w:cs="Times New Roman"/>
          <w:color w:val="808080"/>
        </w:rPr>
      </w:pPr>
    </w:p>
    <w:p w14:paraId="0D19FE91" w14:textId="77777777" w:rsidR="00030F30" w:rsidRPr="00030F30" w:rsidRDefault="00030F30" w:rsidP="00030F30">
      <w:pPr>
        <w:pStyle w:val="NormalWeb"/>
        <w:spacing w:before="0" w:beforeAutospacing="0" w:after="210" w:afterAutospacing="0"/>
        <w:rPr>
          <w:rFonts w:asciiTheme="minorHAnsi" w:hAnsiTheme="minorHAnsi" w:cs="Times New Roman"/>
        </w:rPr>
      </w:pPr>
      <w:r w:rsidRPr="00030F30">
        <w:rPr>
          <w:rFonts w:asciiTheme="minorHAnsi" w:hAnsiTheme="minorHAnsi" w:cs="Times New Roman"/>
          <w:b/>
          <w:bCs/>
        </w:rPr>
        <w:t>2. If the partnership includes a for-profit employer/workforce organization, how is Demonstrated Effectiveness evaluated?</w:t>
      </w:r>
    </w:p>
    <w:p w14:paraId="1113141B" w14:textId="3552D237" w:rsidR="00030F30" w:rsidRPr="00030F30" w:rsidRDefault="00030F30" w:rsidP="00030F30">
      <w:pPr>
        <w:pStyle w:val="NormalWeb"/>
        <w:spacing w:before="0" w:beforeAutospacing="0" w:after="180" w:afterAutospacing="0"/>
        <w:rPr>
          <w:rFonts w:asciiTheme="minorHAnsi" w:hAnsiTheme="minorHAnsi"/>
        </w:rPr>
      </w:pPr>
      <w:r w:rsidRPr="00030F30">
        <w:rPr>
          <w:rFonts w:asciiTheme="minorHAnsi" w:hAnsiTheme="minorHAnsi" w:cs="Times New Roman"/>
          <w:b/>
          <w:bCs/>
        </w:rPr>
        <w:t>Answer:</w:t>
      </w:r>
      <w:r w:rsidRPr="00030F30">
        <w:rPr>
          <w:rFonts w:asciiTheme="minorHAnsi" w:hAnsiTheme="minorHAnsi" w:cs="Times New Roman"/>
        </w:rPr>
        <w:t xml:space="preserve"> Demonstrated Effectiveness is an </w:t>
      </w:r>
      <w:r w:rsidRPr="00030F30">
        <w:rPr>
          <w:rFonts w:asciiTheme="minorHAnsi" w:hAnsiTheme="minorHAnsi" w:cs="Times New Roman"/>
          <w:b/>
          <w:bCs/>
        </w:rPr>
        <w:t>eligibility requirement for the eligible provider/applicant</w:t>
      </w:r>
      <w:r w:rsidRPr="00030F30">
        <w:rPr>
          <w:rFonts w:asciiTheme="minorHAnsi" w:hAnsiTheme="minorHAnsi" w:cs="Times New Roman"/>
        </w:rPr>
        <w:t>, not merely a qualification that can be supplied by a contractor that will operate the program. Under 34 CFR §463.24, an eligible provider must demonstrate its past effectiveness through performance data showing improvement in the skills of eligible individuals and outcomes involving employment, secondary credential attainment, and transition to postsecondary education/training. Previously Title II-funded providers use their required WIOA performance data; organizations not previously funded under Title II may use verifiable performance data from comparable programs serving basic-skills-deficient eligible individuals. </w:t>
      </w:r>
    </w:p>
    <w:p w14:paraId="24C17DF8" w14:textId="3E162477" w:rsidR="00030F30" w:rsidRPr="00030F30" w:rsidRDefault="00030F30" w:rsidP="00030F30">
      <w:pPr>
        <w:pStyle w:val="NormalWeb"/>
        <w:spacing w:before="0" w:beforeAutospacing="0" w:after="180" w:afterAutospacing="0"/>
        <w:rPr>
          <w:rFonts w:asciiTheme="minorHAnsi" w:hAnsiTheme="minorHAnsi"/>
        </w:rPr>
      </w:pPr>
      <w:r w:rsidRPr="00030F30">
        <w:rPr>
          <w:rFonts w:asciiTheme="minorHAnsi" w:hAnsiTheme="minorHAnsi" w:cs="Times New Roman"/>
        </w:rPr>
        <w:t xml:space="preserve">That is exactly how </w:t>
      </w:r>
      <w:r>
        <w:rPr>
          <w:rFonts w:asciiTheme="minorHAnsi" w:hAnsiTheme="minorHAnsi" w:cs="Times New Roman"/>
        </w:rPr>
        <w:t xml:space="preserve">the </w:t>
      </w:r>
      <w:r w:rsidRPr="00030F30">
        <w:rPr>
          <w:rFonts w:asciiTheme="minorHAnsi" w:hAnsiTheme="minorHAnsi" w:cs="Times New Roman"/>
        </w:rPr>
        <w:t xml:space="preserve">Demonstrated Effectiveness form is structured: Title II providers use official ICCB performance data, while applicants without previous Title II funding provide verifiable comparable-program data with the source, reporting period, and population identified. Therefore, </w:t>
      </w:r>
      <w:r w:rsidRPr="00030F30">
        <w:rPr>
          <w:rFonts w:asciiTheme="minorHAnsi" w:hAnsiTheme="minorHAnsi" w:cs="Times New Roman"/>
          <w:b/>
          <w:bCs/>
        </w:rPr>
        <w:t>a for-profit partner’s experience cannot simply substitute for the eligible applicant’s demonstrated effectiveness.</w:t>
      </w:r>
    </w:p>
    <w:p w14:paraId="2E0A637E" w14:textId="77777777" w:rsidR="00030F30" w:rsidRPr="00030F30" w:rsidRDefault="00030F30" w:rsidP="00030F30">
      <w:pPr>
        <w:pStyle w:val="NormalWeb"/>
        <w:spacing w:before="0" w:beforeAutospacing="0" w:after="0" w:afterAutospacing="0"/>
        <w:rPr>
          <w:rFonts w:asciiTheme="minorHAnsi" w:hAnsiTheme="minorHAnsi" w:cs="Times New Roman"/>
          <w:color w:val="808080"/>
        </w:rPr>
      </w:pPr>
    </w:p>
    <w:p w14:paraId="765C2443" w14:textId="77777777" w:rsidR="00030F30" w:rsidRDefault="00030F30" w:rsidP="00030F30">
      <w:pPr>
        <w:pStyle w:val="NormalWeb"/>
        <w:spacing w:before="0" w:beforeAutospacing="0" w:after="210" w:afterAutospacing="0"/>
        <w:rPr>
          <w:rFonts w:asciiTheme="minorHAnsi" w:hAnsiTheme="minorHAnsi" w:cs="Times New Roman"/>
          <w:b/>
          <w:bCs/>
        </w:rPr>
      </w:pPr>
    </w:p>
    <w:p w14:paraId="5F97AECA" w14:textId="7281BDD2" w:rsidR="00030F30" w:rsidRPr="00030F30" w:rsidRDefault="00030F30" w:rsidP="00030F30">
      <w:pPr>
        <w:pStyle w:val="NormalWeb"/>
        <w:spacing w:before="0" w:beforeAutospacing="0" w:after="210" w:afterAutospacing="0"/>
        <w:rPr>
          <w:rFonts w:asciiTheme="minorHAnsi" w:hAnsiTheme="minorHAnsi" w:cs="Times New Roman"/>
        </w:rPr>
      </w:pPr>
      <w:r w:rsidRPr="00030F30">
        <w:rPr>
          <w:rFonts w:asciiTheme="minorHAnsi" w:hAnsiTheme="minorHAnsi" w:cs="Times New Roman"/>
          <w:b/>
          <w:bCs/>
        </w:rPr>
        <w:lastRenderedPageBreak/>
        <w:t>3. Can comparable performance data from a consortium or partnership member establish Demonstrated Effectiveness, or must the lead independently satisfy it?</w:t>
      </w:r>
    </w:p>
    <w:p w14:paraId="3EE99AB8" w14:textId="0545DEB9" w:rsidR="00030F30" w:rsidRPr="00030F30" w:rsidRDefault="00030F30" w:rsidP="00030F30">
      <w:pPr>
        <w:pStyle w:val="NormalWeb"/>
        <w:spacing w:before="0" w:beforeAutospacing="0" w:after="180" w:afterAutospacing="0"/>
        <w:rPr>
          <w:rFonts w:asciiTheme="minorHAnsi" w:hAnsiTheme="minorHAnsi"/>
        </w:rPr>
      </w:pPr>
      <w:r w:rsidRPr="00030F30">
        <w:rPr>
          <w:rFonts w:asciiTheme="minorHAnsi" w:hAnsiTheme="minorHAnsi" w:cs="Times New Roman"/>
          <w:b/>
          <w:bCs/>
        </w:rPr>
        <w:t>Answer:</w:t>
      </w:r>
      <w:r>
        <w:rPr>
          <w:rFonts w:asciiTheme="minorHAnsi" w:hAnsiTheme="minorHAnsi" w:cs="Times New Roman"/>
        </w:rPr>
        <w:t xml:space="preserve"> T</w:t>
      </w:r>
      <w:r w:rsidRPr="00030F30">
        <w:rPr>
          <w:rFonts w:asciiTheme="minorHAnsi" w:hAnsiTheme="minorHAnsi" w:cs="Times New Roman"/>
          <w:b/>
          <w:bCs/>
        </w:rPr>
        <w:t>he entity or entities constituting the eligible provider must satisfy Demonstrated Effectiveness; a lead applicant should not rely solely on the performance history of an unrelated contractor or partner.</w:t>
      </w:r>
    </w:p>
    <w:p w14:paraId="22E16654" w14:textId="77777777" w:rsidR="00030F30" w:rsidRPr="00030F30" w:rsidRDefault="00030F30" w:rsidP="00030F30">
      <w:pPr>
        <w:pStyle w:val="NormalWeb"/>
        <w:spacing w:before="0" w:beforeAutospacing="0" w:after="180" w:afterAutospacing="0"/>
        <w:rPr>
          <w:rFonts w:asciiTheme="minorHAnsi" w:hAnsiTheme="minorHAnsi"/>
        </w:rPr>
      </w:pPr>
      <w:r w:rsidRPr="00030F30">
        <w:rPr>
          <w:rFonts w:asciiTheme="minorHAnsi" w:hAnsiTheme="minorHAnsi" w:cs="Times New Roman"/>
        </w:rPr>
        <w:t xml:space="preserve">34 CFR §463.24 requires </w:t>
      </w:r>
      <w:r w:rsidRPr="00030F30">
        <w:rPr>
          <w:rFonts w:asciiTheme="minorHAnsi" w:hAnsiTheme="minorHAnsi" w:cs="Times New Roman"/>
          <w:b/>
          <w:bCs/>
        </w:rPr>
        <w:t>“an eligible provider”</w:t>
      </w:r>
      <w:r w:rsidRPr="00030F30">
        <w:rPr>
          <w:rFonts w:asciiTheme="minorHAnsi" w:hAnsiTheme="minorHAnsi" w:cs="Times New Roman"/>
        </w:rPr>
        <w:t xml:space="preserve"> to demonstrate past effectiveness. </w:t>
      </w:r>
    </w:p>
    <w:p w14:paraId="00E0D436" w14:textId="42E99A7F" w:rsidR="00030F30" w:rsidRPr="00030F30" w:rsidRDefault="00030F30" w:rsidP="00030F30">
      <w:pPr>
        <w:pStyle w:val="NormalWeb"/>
        <w:spacing w:before="0" w:beforeAutospacing="0" w:after="180" w:afterAutospacing="0"/>
        <w:rPr>
          <w:rFonts w:asciiTheme="minorHAnsi" w:hAnsiTheme="minorHAnsi"/>
        </w:rPr>
      </w:pPr>
      <w:r>
        <w:rPr>
          <w:rFonts w:asciiTheme="minorHAnsi" w:hAnsiTheme="minorHAnsi" w:cs="Times New Roman"/>
        </w:rPr>
        <w:t xml:space="preserve">The </w:t>
      </w:r>
      <w:r w:rsidRPr="00030F30">
        <w:rPr>
          <w:rFonts w:asciiTheme="minorHAnsi" w:hAnsiTheme="minorHAnsi" w:cs="Times New Roman"/>
        </w:rPr>
        <w:t xml:space="preserve">NOFO similarly says that </w:t>
      </w:r>
      <w:r w:rsidRPr="00030F30">
        <w:rPr>
          <w:rFonts w:asciiTheme="minorHAnsi" w:hAnsiTheme="minorHAnsi" w:cs="Times New Roman"/>
          <w:b/>
          <w:bCs/>
        </w:rPr>
        <w:t>“the applicant” must meet demonstrated effectiveness</w:t>
      </w:r>
      <w:r w:rsidRPr="00030F30">
        <w:rPr>
          <w:rFonts w:asciiTheme="minorHAnsi" w:hAnsiTheme="minorHAnsi" w:cs="Times New Roman"/>
        </w:rPr>
        <w:t xml:space="preserve"> and that applications failing Demonstrated Effectiveness do not proceed to review/scoring. </w:t>
      </w:r>
      <w:r w:rsidRPr="00030F30">
        <w:rPr>
          <w:rFonts w:asciiTheme="minorHAnsi" w:hAnsiTheme="minorHAnsi" w:cs="Times New Roman"/>
          <w:b/>
          <w:bCs/>
        </w:rPr>
        <w:t>Comparable data may be submitted when the applicant has not previously received Title II funding, but the data must demonstrate the past effectiveness of the eligible provider applying for the award. Performance data belonging solely to a separate partner or contractor may not be used to substitute for the applicant’s own Demonstrated Effectiveness requirement.</w:t>
      </w:r>
    </w:p>
    <w:p w14:paraId="0963E463" w14:textId="77777777" w:rsidR="00030F30" w:rsidRPr="00030F30" w:rsidRDefault="00030F30" w:rsidP="00030F30">
      <w:pPr>
        <w:pStyle w:val="NormalWeb"/>
        <w:spacing w:before="0" w:beforeAutospacing="0" w:after="0" w:afterAutospacing="0"/>
        <w:rPr>
          <w:rFonts w:asciiTheme="minorHAnsi" w:hAnsiTheme="minorHAnsi" w:cs="Times New Roman"/>
          <w:color w:val="808080"/>
        </w:rPr>
      </w:pPr>
    </w:p>
    <w:p w14:paraId="583D5413" w14:textId="77777777" w:rsidR="00030F30" w:rsidRPr="00030F30" w:rsidRDefault="00030F30" w:rsidP="00030F30">
      <w:pPr>
        <w:pStyle w:val="NormalWeb"/>
        <w:spacing w:before="0" w:beforeAutospacing="0" w:after="210" w:afterAutospacing="0"/>
        <w:rPr>
          <w:rFonts w:asciiTheme="minorHAnsi" w:hAnsiTheme="minorHAnsi" w:cs="Times New Roman"/>
        </w:rPr>
      </w:pPr>
      <w:r w:rsidRPr="00030F30">
        <w:rPr>
          <w:rFonts w:asciiTheme="minorHAnsi" w:hAnsiTheme="minorHAnsi" w:cs="Times New Roman"/>
          <w:b/>
          <w:bCs/>
        </w:rPr>
        <w:t>4. What about a newly formed consortium? Can it use the historical performance of its members, or does the new lead/fiscal agent need its own history?</w:t>
      </w:r>
    </w:p>
    <w:p w14:paraId="12968EDE" w14:textId="1A7744D8" w:rsidR="00030F30" w:rsidRPr="00030F30" w:rsidRDefault="00030F30" w:rsidP="00030F30">
      <w:pPr>
        <w:pStyle w:val="NormalWeb"/>
        <w:spacing w:before="0" w:beforeAutospacing="0" w:after="180" w:afterAutospacing="0"/>
        <w:rPr>
          <w:rFonts w:asciiTheme="minorHAnsi" w:hAnsiTheme="minorHAnsi"/>
        </w:rPr>
      </w:pPr>
      <w:r w:rsidRPr="00030F30">
        <w:rPr>
          <w:rFonts w:asciiTheme="minorHAnsi" w:hAnsiTheme="minorHAnsi" w:cs="Times New Roman"/>
          <w:b/>
          <w:bCs/>
        </w:rPr>
        <w:t>Answer:</w:t>
      </w:r>
      <w:r w:rsidRPr="00030F30">
        <w:rPr>
          <w:rFonts w:asciiTheme="minorHAnsi" w:hAnsiTheme="minorHAnsi" w:cs="Times New Roman"/>
        </w:rPr>
        <w:t xml:space="preserve"> A newly formed consortium does not necessarily need a historical performance record </w:t>
      </w:r>
      <w:r w:rsidRPr="00030F30">
        <w:rPr>
          <w:rFonts w:asciiTheme="minorHAnsi" w:hAnsiTheme="minorHAnsi" w:cs="Times New Roman"/>
          <w:b/>
          <w:bCs/>
        </w:rPr>
        <w:t>in the consortium’s new collective name</w:t>
      </w:r>
      <w:r w:rsidRPr="00030F30">
        <w:rPr>
          <w:rFonts w:asciiTheme="minorHAnsi" w:hAnsiTheme="minorHAnsi" w:cs="Times New Roman"/>
        </w:rPr>
        <w:t>, because a consortium itself can be an eligible provider under §463.23(</w:t>
      </w:r>
      <w:proofErr w:type="spellStart"/>
      <w:r w:rsidRPr="00030F30">
        <w:rPr>
          <w:rFonts w:asciiTheme="minorHAnsi" w:hAnsiTheme="minorHAnsi" w:cs="Times New Roman"/>
        </w:rPr>
        <w:t>i</w:t>
      </w:r>
      <w:proofErr w:type="spellEnd"/>
      <w:r w:rsidRPr="00030F30">
        <w:rPr>
          <w:rFonts w:asciiTheme="minorHAnsi" w:hAnsiTheme="minorHAnsi" w:cs="Times New Roman"/>
        </w:rPr>
        <w:t>). However, ICCB must be able to determine that the organizations comprising the eligible-provider consortium satisfy the Demonstrated Effectiveness requirement. </w:t>
      </w:r>
      <w:r>
        <w:rPr>
          <w:rFonts w:asciiTheme="minorHAnsi" w:hAnsiTheme="minorHAnsi"/>
        </w:rPr>
        <w:t xml:space="preserve"> </w:t>
      </w:r>
      <w:r w:rsidRPr="00030F30">
        <w:rPr>
          <w:rFonts w:asciiTheme="minorHAnsi" w:hAnsiTheme="minorHAnsi" w:cs="Times New Roman"/>
        </w:rPr>
        <w:t xml:space="preserve">Therefore, documented performance from the eligible consortium members that </w:t>
      </w:r>
      <w:proofErr w:type="gramStart"/>
      <w:r w:rsidRPr="00030F30">
        <w:rPr>
          <w:rFonts w:asciiTheme="minorHAnsi" w:hAnsiTheme="minorHAnsi" w:cs="Times New Roman"/>
        </w:rPr>
        <w:t>actually provided</w:t>
      </w:r>
      <w:proofErr w:type="gramEnd"/>
      <w:r w:rsidRPr="00030F30">
        <w:rPr>
          <w:rFonts w:asciiTheme="minorHAnsi" w:hAnsiTheme="minorHAnsi" w:cs="Times New Roman"/>
        </w:rPr>
        <w:t xml:space="preserve"> the relevant services can be considered in determining the consortium’s demonstrated effectiveness. The performance evidence should be </w:t>
      </w:r>
      <w:r w:rsidRPr="00030F30">
        <w:rPr>
          <w:rFonts w:asciiTheme="minorHAnsi" w:hAnsiTheme="minorHAnsi" w:cs="Times New Roman"/>
          <w:b/>
          <w:bCs/>
        </w:rPr>
        <w:t>attributable and verifiable</w:t>
      </w:r>
      <w:r w:rsidRPr="00030F30">
        <w:rPr>
          <w:rFonts w:asciiTheme="minorHAnsi" w:hAnsiTheme="minorHAnsi" w:cs="Times New Roman"/>
        </w:rPr>
        <w:t>, identifying which member produced the outcomes, the population served, the reporting period, and the data source.</w:t>
      </w:r>
      <w:r>
        <w:rPr>
          <w:rFonts w:asciiTheme="minorHAnsi" w:hAnsiTheme="minorHAnsi"/>
        </w:rPr>
        <w:t xml:space="preserve"> </w:t>
      </w:r>
      <w:r w:rsidRPr="00030F30">
        <w:rPr>
          <w:rFonts w:asciiTheme="minorHAnsi" w:hAnsiTheme="minorHAnsi" w:cs="Times New Roman"/>
          <w:b/>
          <w:bCs/>
        </w:rPr>
        <w:t>For a newly formed consortium, Demonstrated Effectiveness may be established using verifiable performance data from the eligible organizations that comprise the consortium and that have experience providing the relevant services. The application must clearly identify the source of the data and the consortium member responsible for the reported outcomes. Designation as the lead/fiscal agent does not, by itself, require the lead organization to have independently generated all historical performance data; however, the consortium as the eligible provider must meet the Demonstrated Effectiveness requirement.</w:t>
      </w:r>
    </w:p>
    <w:p w14:paraId="2984E239" w14:textId="77777777" w:rsidR="00030F30" w:rsidRPr="00030F30" w:rsidRDefault="00030F30" w:rsidP="00030F30">
      <w:pPr>
        <w:pStyle w:val="NormalWeb"/>
        <w:spacing w:before="0" w:beforeAutospacing="0" w:after="0" w:afterAutospacing="0"/>
        <w:rPr>
          <w:rFonts w:asciiTheme="minorHAnsi" w:hAnsiTheme="minorHAnsi" w:cs="Times New Roman"/>
          <w:color w:val="808080"/>
        </w:rPr>
      </w:pPr>
    </w:p>
    <w:p w14:paraId="69E77BC6" w14:textId="77777777" w:rsidR="00030F30" w:rsidRPr="00030F30" w:rsidRDefault="00030F30" w:rsidP="00030F30">
      <w:pPr>
        <w:pStyle w:val="NormalWeb"/>
        <w:spacing w:before="0" w:beforeAutospacing="0" w:after="210" w:afterAutospacing="0"/>
        <w:rPr>
          <w:rFonts w:asciiTheme="minorHAnsi" w:hAnsiTheme="minorHAnsi" w:cs="Times New Roman"/>
        </w:rPr>
      </w:pPr>
      <w:r w:rsidRPr="00030F30">
        <w:rPr>
          <w:rFonts w:asciiTheme="minorHAnsi" w:hAnsiTheme="minorHAnsi" w:cs="Times New Roman"/>
          <w:b/>
          <w:bCs/>
        </w:rPr>
        <w:t>5. If the grantee contracts with an outside firm for grant compliance, performance/accountability reporting, grant management, reimbursement documentation, and consortium reporting coordination, are those costs subject to the 5% administrative cap? Can they instead be charged to Federal Leadership or Non-Match State funds?</w:t>
      </w:r>
    </w:p>
    <w:p w14:paraId="2ACBF167" w14:textId="7113425A" w:rsidR="00030F30" w:rsidRDefault="00030F30" w:rsidP="00030F30">
      <w:pPr>
        <w:pStyle w:val="NormalWeb"/>
        <w:spacing w:before="0" w:beforeAutospacing="0" w:after="180" w:afterAutospacing="0"/>
        <w:rPr>
          <w:rFonts w:asciiTheme="minorHAnsi" w:hAnsiTheme="minorHAnsi" w:cs="Times New Roman"/>
        </w:rPr>
      </w:pPr>
      <w:r w:rsidRPr="00030F30">
        <w:rPr>
          <w:rFonts w:asciiTheme="minorHAnsi" w:hAnsiTheme="minorHAnsi" w:cs="Times New Roman"/>
          <w:b/>
          <w:bCs/>
        </w:rPr>
        <w:lastRenderedPageBreak/>
        <w:t>Answer:</w:t>
      </w:r>
      <w:r w:rsidRPr="00030F30">
        <w:rPr>
          <w:rFonts w:asciiTheme="minorHAnsi" w:hAnsiTheme="minorHAnsi" w:cs="Times New Roman"/>
        </w:rPr>
        <w:t xml:space="preserve"> </w:t>
      </w:r>
      <w:r w:rsidRPr="00030F30">
        <w:rPr>
          <w:rFonts w:asciiTheme="minorHAnsi" w:hAnsiTheme="minorHAnsi"/>
          <w:b/>
          <w:bCs/>
        </w:rPr>
        <w:t>Yes, to the extent those contracted services perform administrative functions for the WIOA award, the costs are administrative costs and count toward the applicable 5% local administrative limitation.</w:t>
      </w:r>
      <w:r w:rsidRPr="00030F30">
        <w:rPr>
          <w:rFonts w:asciiTheme="minorHAnsi" w:hAnsiTheme="minorHAnsi" w:cs="Times New Roman"/>
        </w:rPr>
        <w:t xml:space="preserve"> The classification is based on the </w:t>
      </w:r>
      <w:r w:rsidRPr="00030F30">
        <w:rPr>
          <w:rFonts w:asciiTheme="minorHAnsi" w:hAnsiTheme="minorHAnsi" w:cs="Times New Roman"/>
          <w:b/>
          <w:bCs/>
        </w:rPr>
        <w:t>function being performed</w:t>
      </w:r>
      <w:r w:rsidRPr="00030F30">
        <w:rPr>
          <w:rFonts w:asciiTheme="minorHAnsi" w:hAnsiTheme="minorHAnsi" w:cs="Times New Roman"/>
        </w:rPr>
        <w:t>, not simply on whether the grantee uses employees or a contractor.</w:t>
      </w:r>
      <w:r>
        <w:rPr>
          <w:rFonts w:asciiTheme="minorHAnsi" w:hAnsiTheme="minorHAnsi" w:cs="Times New Roman"/>
        </w:rPr>
        <w:t xml:space="preserve"> The </w:t>
      </w:r>
      <w:r w:rsidRPr="00030F30">
        <w:rPr>
          <w:rFonts w:asciiTheme="minorHAnsi" w:hAnsiTheme="minorHAnsi" w:cs="Times New Roman"/>
        </w:rPr>
        <w:t>NOFO specifically states that administrative costs include planning, administration, including performance and accountability—and indirect costs, and that direct administrative costs plus indirect costs must fall within the 5% limit. </w:t>
      </w:r>
      <w:r>
        <w:rPr>
          <w:rFonts w:asciiTheme="minorHAnsi" w:hAnsiTheme="minorHAnsi"/>
        </w:rPr>
        <w:t xml:space="preserve">  </w:t>
      </w:r>
      <w:r w:rsidRPr="00030F30">
        <w:rPr>
          <w:rFonts w:asciiTheme="minorHAnsi" w:hAnsiTheme="minorHAnsi" w:cs="Times New Roman"/>
        </w:rPr>
        <w:t xml:space="preserve">Therefore, services such as </w:t>
      </w:r>
      <w:r w:rsidRPr="00030F30">
        <w:rPr>
          <w:rFonts w:asciiTheme="minorHAnsi" w:hAnsiTheme="minorHAnsi" w:cs="Times New Roman"/>
          <w:b/>
          <w:bCs/>
        </w:rPr>
        <w:t>grant administration, fiscal/grant management, reimbursement documentation, compliance administration, and performance/accountability reporting</w:t>
      </w:r>
      <w:r w:rsidRPr="00030F30">
        <w:rPr>
          <w:rFonts w:asciiTheme="minorHAnsi" w:hAnsiTheme="minorHAnsi" w:cs="Times New Roman"/>
        </w:rPr>
        <w:t xml:space="preserve"> would generally be administrative in nature. Federal Leadership funds are braided with WIOA funding and are intended for rapid implementation, start-up activities, high-quality professional development, and other permissible Section 223 activities. FY27 Adult Education and Literacy NOFO (APC 507) 2.pdf Non-Match State funds are separately governed by Illinois statutes, grant terms, and ICCB policy. </w:t>
      </w:r>
      <w:r>
        <w:rPr>
          <w:rFonts w:asciiTheme="minorHAnsi" w:hAnsiTheme="minorHAnsi"/>
        </w:rPr>
        <w:t xml:space="preserve"> A</w:t>
      </w:r>
      <w:r w:rsidRPr="00030F30">
        <w:rPr>
          <w:rFonts w:asciiTheme="minorHAnsi" w:hAnsiTheme="minorHAnsi" w:cs="Times New Roman"/>
          <w:b/>
          <w:bCs/>
        </w:rPr>
        <w:t>dministrative costs can</w:t>
      </w:r>
      <w:r>
        <w:rPr>
          <w:rFonts w:asciiTheme="minorHAnsi" w:hAnsiTheme="minorHAnsi" w:cs="Times New Roman"/>
          <w:b/>
          <w:bCs/>
        </w:rPr>
        <w:t>not</w:t>
      </w:r>
      <w:r w:rsidRPr="00030F30">
        <w:rPr>
          <w:rFonts w:asciiTheme="minorHAnsi" w:hAnsiTheme="minorHAnsi" w:cs="Times New Roman"/>
          <w:b/>
          <w:bCs/>
        </w:rPr>
        <w:t xml:space="preserve"> simply be shifted to Leadership or State funds to avoid the federal 5% cap.</w:t>
      </w:r>
      <w:r w:rsidRPr="00030F30">
        <w:rPr>
          <w:rFonts w:asciiTheme="minorHAnsi" w:hAnsiTheme="minorHAnsi" w:cs="Times New Roman"/>
        </w:rPr>
        <w:t xml:space="preserve"> Costs must be allocated to the funding source that </w:t>
      </w:r>
      <w:proofErr w:type="gramStart"/>
      <w:r w:rsidRPr="00030F30">
        <w:rPr>
          <w:rFonts w:asciiTheme="minorHAnsi" w:hAnsiTheme="minorHAnsi" w:cs="Times New Roman"/>
        </w:rPr>
        <w:t>actually benefits</w:t>
      </w:r>
      <w:proofErr w:type="gramEnd"/>
      <w:r w:rsidRPr="00030F30">
        <w:rPr>
          <w:rFonts w:asciiTheme="minorHAnsi" w:hAnsiTheme="minorHAnsi" w:cs="Times New Roman"/>
        </w:rPr>
        <w:t xml:space="preserve"> from the activity and must be allowable under that funding source.</w:t>
      </w:r>
      <w:r>
        <w:rPr>
          <w:rFonts w:asciiTheme="minorHAnsi" w:hAnsiTheme="minorHAnsi"/>
        </w:rPr>
        <w:t xml:space="preserve"> </w:t>
      </w:r>
      <w:r w:rsidRPr="00030F30">
        <w:rPr>
          <w:rFonts w:asciiTheme="minorHAnsi" w:hAnsiTheme="minorHAnsi" w:cs="Times New Roman"/>
          <w:b/>
          <w:bCs/>
        </w:rPr>
        <w:t>Contracted costs are classified according to the nature of the services performed, not the type of vendor. Contracted services for planning, grant administration, performance/accountability administration, fiscal management, reimbursement documentation, or similar administrative functions attributable to the WIOA award are administrative costs and are subject to the applicable administrative-cost limitation. Costs may not be shifted to Federal Leadership or Non-Match State funding solely to avoid the WIOA administrative cap. Where a contracted activity legitimately benefits multiple funding streams, costs must be appropriately allocated and documented in accordance with the applicable grant requirements.</w:t>
      </w:r>
      <w:r>
        <w:rPr>
          <w:rFonts w:asciiTheme="minorHAnsi" w:hAnsiTheme="minorHAnsi"/>
        </w:rPr>
        <w:t xml:space="preserve"> F</w:t>
      </w:r>
      <w:r w:rsidRPr="00030F30">
        <w:rPr>
          <w:rFonts w:asciiTheme="minorHAnsi" w:hAnsiTheme="minorHAnsi" w:cs="Times New Roman"/>
        </w:rPr>
        <w:t>ederal regulation provides a mechanism where the 5% local administrative limit is too restrictive—the eligible provider and eligible agency may negotiate an adequate level for non-instructional purposes. </w:t>
      </w:r>
    </w:p>
    <w:p w14:paraId="3CDE5314" w14:textId="56BAD7BF" w:rsidR="00030F30" w:rsidRDefault="005903F4" w:rsidP="005903F4">
      <w:pPr>
        <w:pStyle w:val="NormalWeb"/>
        <w:spacing w:before="0" w:beforeAutospacing="0" w:after="180" w:afterAutospacing="0"/>
        <w:rPr>
          <w:rFonts w:asciiTheme="minorHAnsi" w:hAnsiTheme="minorHAnsi" w:cs="Times New Roman"/>
        </w:rPr>
      </w:pPr>
      <w:r>
        <w:rPr>
          <w:rFonts w:asciiTheme="minorHAnsi" w:hAnsiTheme="minorHAnsi" w:cs="Times New Roman"/>
        </w:rPr>
        <w:t>6. Is the $316271 the total amount?</w:t>
      </w:r>
    </w:p>
    <w:p w14:paraId="12E66E1E" w14:textId="39F17FC3" w:rsidR="005903F4" w:rsidRDefault="005903F4" w:rsidP="005903F4">
      <w:pPr>
        <w:pStyle w:val="NormalWeb"/>
        <w:spacing w:before="0" w:beforeAutospacing="0" w:after="180" w:afterAutospacing="0"/>
        <w:rPr>
          <w:rFonts w:asciiTheme="minorHAnsi" w:hAnsiTheme="minorHAnsi" w:cs="Times New Roman"/>
        </w:rPr>
      </w:pPr>
      <w:r>
        <w:rPr>
          <w:rFonts w:asciiTheme="minorHAnsi" w:hAnsiTheme="minorHAnsi" w:cs="Times New Roman"/>
        </w:rPr>
        <w:t>Answer: The $316,271 is the total APC 507 funding package, not three separate awards. The first page states “anticipated number of awards:1” and estimated total program funding: up to $316,271.</w:t>
      </w:r>
    </w:p>
    <w:p w14:paraId="410576B2" w14:textId="7B097D12" w:rsidR="005903F4" w:rsidRDefault="005903F4" w:rsidP="005903F4">
      <w:pPr>
        <w:pStyle w:val="NormalWeb"/>
        <w:spacing w:before="0" w:beforeAutospacing="0" w:after="180" w:afterAutospacing="0"/>
        <w:rPr>
          <w:rFonts w:asciiTheme="minorHAnsi" w:hAnsiTheme="minorHAnsi" w:cs="Times New Roman"/>
        </w:rPr>
      </w:pPr>
      <w:r>
        <w:rPr>
          <w:rFonts w:asciiTheme="minorHAnsi" w:hAnsiTheme="minorHAnsi" w:cs="Times New Roman"/>
        </w:rPr>
        <w:t xml:space="preserve">Also, page 13 shows exactly how the $316,271 is divided: </w:t>
      </w:r>
    </w:p>
    <w:p w14:paraId="206A37C7" w14:textId="0F78A163" w:rsidR="005903F4" w:rsidRDefault="005903F4" w:rsidP="005903F4">
      <w:pPr>
        <w:pStyle w:val="NormalWeb"/>
        <w:spacing w:before="0" w:beforeAutospacing="0" w:after="180" w:afterAutospacing="0"/>
        <w:rPr>
          <w:rFonts w:asciiTheme="minorHAnsi" w:hAnsiTheme="minorHAnsi" w:cs="Times New Roman"/>
        </w:rPr>
      </w:pPr>
      <w:r>
        <w:rPr>
          <w:rFonts w:asciiTheme="minorHAnsi" w:hAnsiTheme="minorHAnsi" w:cs="Times New Roman"/>
        </w:rPr>
        <w:t xml:space="preserve">Non-match state </w:t>
      </w:r>
      <w:proofErr w:type="gramStart"/>
      <w:r>
        <w:rPr>
          <w:rFonts w:asciiTheme="minorHAnsi" w:hAnsiTheme="minorHAnsi" w:cs="Times New Roman"/>
        </w:rPr>
        <w:t>funds :</w:t>
      </w:r>
      <w:proofErr w:type="gramEnd"/>
      <w:r>
        <w:rPr>
          <w:rFonts w:asciiTheme="minorHAnsi" w:hAnsiTheme="minorHAnsi" w:cs="Times New Roman"/>
        </w:rPr>
        <w:t xml:space="preserve"> %115,506</w:t>
      </w:r>
    </w:p>
    <w:p w14:paraId="61B6C44D" w14:textId="22A4CD5D" w:rsidR="005903F4" w:rsidRDefault="005903F4" w:rsidP="005903F4">
      <w:pPr>
        <w:pStyle w:val="NormalWeb"/>
        <w:spacing w:before="0" w:beforeAutospacing="0" w:after="180" w:afterAutospacing="0"/>
        <w:rPr>
          <w:rFonts w:asciiTheme="minorHAnsi" w:hAnsiTheme="minorHAnsi" w:cs="Times New Roman"/>
        </w:rPr>
      </w:pPr>
      <w:proofErr w:type="gramStart"/>
      <w:r>
        <w:rPr>
          <w:rFonts w:asciiTheme="minorHAnsi" w:hAnsiTheme="minorHAnsi" w:cs="Times New Roman"/>
        </w:rPr>
        <w:t>WIOA :</w:t>
      </w:r>
      <w:proofErr w:type="gramEnd"/>
      <w:r>
        <w:rPr>
          <w:rFonts w:asciiTheme="minorHAnsi" w:hAnsiTheme="minorHAnsi" w:cs="Times New Roman"/>
        </w:rPr>
        <w:t xml:space="preserve"> $100,765</w:t>
      </w:r>
    </w:p>
    <w:p w14:paraId="3DF856DE" w14:textId="1B62E7AF" w:rsidR="005903F4" w:rsidRDefault="005903F4" w:rsidP="005903F4">
      <w:pPr>
        <w:pStyle w:val="NormalWeb"/>
        <w:spacing w:before="0" w:beforeAutospacing="0" w:after="180" w:afterAutospacing="0"/>
        <w:rPr>
          <w:rFonts w:asciiTheme="minorHAnsi" w:hAnsiTheme="minorHAnsi" w:cs="Times New Roman"/>
        </w:rPr>
      </w:pPr>
      <w:r>
        <w:rPr>
          <w:rFonts w:asciiTheme="minorHAnsi" w:hAnsiTheme="minorHAnsi" w:cs="Times New Roman"/>
        </w:rPr>
        <w:t>Federal adult education leadership: $100,000</w:t>
      </w:r>
    </w:p>
    <w:p w14:paraId="2147D1B8" w14:textId="3C880E6F" w:rsidR="005903F4" w:rsidRPr="00030F30" w:rsidRDefault="005903F4" w:rsidP="005903F4">
      <w:pPr>
        <w:pStyle w:val="NormalWeb"/>
        <w:spacing w:before="0" w:beforeAutospacing="0" w:after="180" w:afterAutospacing="0"/>
        <w:rPr>
          <w:rFonts w:asciiTheme="minorHAnsi" w:eastAsia="Times New Roman" w:hAnsiTheme="minorHAnsi"/>
        </w:rPr>
      </w:pPr>
      <w:r>
        <w:rPr>
          <w:rFonts w:asciiTheme="minorHAnsi" w:hAnsiTheme="minorHAnsi" w:cs="Times New Roman"/>
        </w:rPr>
        <w:t>Total : $316,271.</w:t>
      </w:r>
    </w:p>
    <w:p w14:paraId="3536C0B7" w14:textId="77777777" w:rsidR="00030F30" w:rsidRPr="00030F30" w:rsidRDefault="00030F30">
      <w:pPr>
        <w:rPr>
          <w:rFonts w:asciiTheme="minorHAnsi" w:hAnsiTheme="minorHAnsi"/>
          <w:b/>
          <w:bCs/>
        </w:rPr>
      </w:pPr>
    </w:p>
    <w:sectPr w:rsidR="00030F30" w:rsidRPr="00030F30" w:rsidSect="00825C50">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5A373C"/>
    <w:multiLevelType w:val="multilevel"/>
    <w:tmpl w:val="6172BB42"/>
    <w:lvl w:ilvl="0">
      <w:start w:val="1"/>
      <w:numFmt w:val="decimal"/>
      <w:lvlText w:val="%1."/>
      <w:lvlJc w:val="left"/>
      <w:pPr>
        <w:tabs>
          <w:tab w:val="num" w:pos="720"/>
        </w:tabs>
        <w:ind w:left="720" w:hanging="360"/>
      </w:pPr>
      <w:rPr>
        <w:rFonts w:ascii="Aptos" w:eastAsia="Times New Roman" w:hAnsi="Aptos" w:cs="Aptos"/>
      </w:r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27606080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C50"/>
    <w:rsid w:val="00030F30"/>
    <w:rsid w:val="00555CB8"/>
    <w:rsid w:val="005903F4"/>
    <w:rsid w:val="00825C50"/>
    <w:rsid w:val="00BE639B"/>
    <w:rsid w:val="00D81C75"/>
    <w:rsid w:val="00F92D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C0475"/>
  <w15:chartTrackingRefBased/>
  <w15:docId w15:val="{A74E3E53-9EA1-42D7-9244-B292FCB9B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5C50"/>
    <w:pPr>
      <w:spacing w:after="0" w:line="240" w:lineRule="auto"/>
    </w:pPr>
    <w:rPr>
      <w:rFonts w:ascii="Aptos" w:hAnsi="Aptos" w:cs="Aptos"/>
      <w:kern w:val="0"/>
      <w14:ligatures w14:val="none"/>
    </w:rPr>
  </w:style>
  <w:style w:type="paragraph" w:styleId="Heading1">
    <w:name w:val="heading 1"/>
    <w:basedOn w:val="Normal"/>
    <w:next w:val="Normal"/>
    <w:link w:val="Heading1Char"/>
    <w:uiPriority w:val="9"/>
    <w:qFormat/>
    <w:rsid w:val="00825C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5C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5C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5C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5C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5C5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5C5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5C5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5C5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5C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5C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5C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5C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5C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5C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5C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5C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5C50"/>
    <w:rPr>
      <w:rFonts w:eastAsiaTheme="majorEastAsia" w:cstheme="majorBidi"/>
      <w:color w:val="272727" w:themeColor="text1" w:themeTint="D8"/>
    </w:rPr>
  </w:style>
  <w:style w:type="paragraph" w:styleId="Title">
    <w:name w:val="Title"/>
    <w:basedOn w:val="Normal"/>
    <w:next w:val="Normal"/>
    <w:link w:val="TitleChar"/>
    <w:uiPriority w:val="10"/>
    <w:qFormat/>
    <w:rsid w:val="00825C5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5C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5C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5C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5C50"/>
    <w:pPr>
      <w:spacing w:before="160"/>
      <w:jc w:val="center"/>
    </w:pPr>
    <w:rPr>
      <w:i/>
      <w:iCs/>
      <w:color w:val="404040" w:themeColor="text1" w:themeTint="BF"/>
    </w:rPr>
  </w:style>
  <w:style w:type="character" w:customStyle="1" w:styleId="QuoteChar">
    <w:name w:val="Quote Char"/>
    <w:basedOn w:val="DefaultParagraphFont"/>
    <w:link w:val="Quote"/>
    <w:uiPriority w:val="29"/>
    <w:rsid w:val="00825C50"/>
    <w:rPr>
      <w:i/>
      <w:iCs/>
      <w:color w:val="404040" w:themeColor="text1" w:themeTint="BF"/>
    </w:rPr>
  </w:style>
  <w:style w:type="paragraph" w:styleId="ListParagraph">
    <w:name w:val="List Paragraph"/>
    <w:basedOn w:val="Normal"/>
    <w:uiPriority w:val="34"/>
    <w:qFormat/>
    <w:rsid w:val="00825C50"/>
    <w:pPr>
      <w:ind w:left="720"/>
      <w:contextualSpacing/>
    </w:pPr>
  </w:style>
  <w:style w:type="character" w:styleId="IntenseEmphasis">
    <w:name w:val="Intense Emphasis"/>
    <w:basedOn w:val="DefaultParagraphFont"/>
    <w:uiPriority w:val="21"/>
    <w:qFormat/>
    <w:rsid w:val="00825C50"/>
    <w:rPr>
      <w:i/>
      <w:iCs/>
      <w:color w:val="0F4761" w:themeColor="accent1" w:themeShade="BF"/>
    </w:rPr>
  </w:style>
  <w:style w:type="paragraph" w:styleId="IntenseQuote">
    <w:name w:val="Intense Quote"/>
    <w:basedOn w:val="Normal"/>
    <w:next w:val="Normal"/>
    <w:link w:val="IntenseQuoteChar"/>
    <w:uiPriority w:val="30"/>
    <w:qFormat/>
    <w:rsid w:val="00825C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5C50"/>
    <w:rPr>
      <w:i/>
      <w:iCs/>
      <w:color w:val="0F4761" w:themeColor="accent1" w:themeShade="BF"/>
    </w:rPr>
  </w:style>
  <w:style w:type="character" w:styleId="IntenseReference">
    <w:name w:val="Intense Reference"/>
    <w:basedOn w:val="DefaultParagraphFont"/>
    <w:uiPriority w:val="32"/>
    <w:qFormat/>
    <w:rsid w:val="00825C50"/>
    <w:rPr>
      <w:b/>
      <w:bCs/>
      <w:smallCaps/>
      <w:color w:val="0F4761" w:themeColor="accent1" w:themeShade="BF"/>
      <w:spacing w:val="5"/>
    </w:rPr>
  </w:style>
  <w:style w:type="paragraph" w:customStyle="1" w:styleId="gmail-isselectedend">
    <w:name w:val="gmail-isselectedend"/>
    <w:basedOn w:val="Normal"/>
    <w:rsid w:val="00F92DD6"/>
    <w:pPr>
      <w:spacing w:before="100" w:beforeAutospacing="1" w:after="100" w:afterAutospacing="1"/>
    </w:pPr>
  </w:style>
  <w:style w:type="paragraph" w:styleId="NormalWeb">
    <w:name w:val="Normal (Web)"/>
    <w:basedOn w:val="Normal"/>
    <w:uiPriority w:val="99"/>
    <w:unhideWhenUsed/>
    <w:rsid w:val="00030F3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1230</Words>
  <Characters>7012</Characters>
  <Application>Microsoft Office Word</Application>
  <DocSecurity>0</DocSecurity>
  <Lines>58</Lines>
  <Paragraphs>16</Paragraphs>
  <ScaleCrop>false</ScaleCrop>
  <Company/>
  <LinksUpToDate>false</LinksUpToDate>
  <CharactersWithSpaces>8226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Sameer, Rupa</dc:creator>
  <cp:keywords/>
  <dc:description/>
  <cp:lastModifiedBy>Sameer, Rupa</cp:lastModifiedBy>
  <cp:revision>4</cp:revision>
  <dcterms:created xsi:type="dcterms:W3CDTF">2026-08-24T13:05:00Z</dcterms:created>
  <dcterms:modified xsi:type="dcterms:W3CDTF">2026-09-02T15:59:00Z</dcterms:modified>
</cp:coreProperties>
</file>