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3AEC" w14:textId="736BE5C6" w:rsidR="009014D1" w:rsidRPr="009014D1" w:rsidRDefault="009014D1">
      <w:pPr>
        <w:rPr>
          <w:b/>
          <w:bCs/>
          <w:sz w:val="36"/>
          <w:szCs w:val="36"/>
          <w:u w:val="single"/>
        </w:rPr>
      </w:pPr>
      <w:r>
        <w:rPr>
          <w:b/>
          <w:bCs/>
          <w:sz w:val="36"/>
          <w:szCs w:val="36"/>
        </w:rPr>
        <w:t xml:space="preserve">                               </w:t>
      </w:r>
      <w:r w:rsidRPr="009014D1">
        <w:rPr>
          <w:b/>
          <w:bCs/>
          <w:sz w:val="36"/>
          <w:szCs w:val="36"/>
          <w:u w:val="single"/>
        </w:rPr>
        <w:t>FY27 AEFLA GRANT FAQ</w:t>
      </w:r>
    </w:p>
    <w:p w14:paraId="6FF6A923" w14:textId="77777777" w:rsidR="009014D1" w:rsidRPr="00545CCB" w:rsidRDefault="009014D1">
      <w:pPr>
        <w:rPr>
          <w:b/>
          <w:bCs/>
          <w:u w:val="single"/>
        </w:rPr>
      </w:pPr>
    </w:p>
    <w:p w14:paraId="1D9C7EE7" w14:textId="77777777" w:rsidR="009014D1" w:rsidRPr="00545CCB" w:rsidRDefault="009014D1" w:rsidP="009014D1">
      <w:r w:rsidRPr="00545CCB">
        <w:rPr>
          <w:b/>
          <w:bCs/>
        </w:rPr>
        <w:t>Question</w:t>
      </w:r>
      <w:r w:rsidRPr="00545CCB">
        <w:t xml:space="preserve">: Is a program who received AEFLA funding in the past, but not currently funded, considered a new program or a current program. </w:t>
      </w:r>
    </w:p>
    <w:p w14:paraId="4E483791" w14:textId="26095C04" w:rsidR="009014D1" w:rsidRPr="00545CCB" w:rsidRDefault="009014D1" w:rsidP="009014D1">
      <w:r w:rsidRPr="00545CCB">
        <w:rPr>
          <w:b/>
          <w:bCs/>
        </w:rPr>
        <w:t>Answer</w:t>
      </w:r>
      <w:r w:rsidRPr="00545CCB">
        <w:t xml:space="preserve">: Because there is data in the ICCB Adult Education MIS, a program would be considered an existing program. Programs lacking data in the State MIS would be considered a new program. </w:t>
      </w:r>
    </w:p>
    <w:p w14:paraId="32D25145" w14:textId="150FAF96" w:rsidR="00101CEC" w:rsidRPr="00545CCB" w:rsidRDefault="00101CEC" w:rsidP="009014D1">
      <w:pPr>
        <w:rPr>
          <w:b/>
          <w:bCs/>
          <w:u w:val="single"/>
        </w:rPr>
      </w:pPr>
      <w:r w:rsidRPr="00545CCB">
        <w:rPr>
          <w:b/>
          <w:bCs/>
          <w:u w:val="single"/>
        </w:rPr>
        <w:t>Different links that might be helpful:</w:t>
      </w:r>
    </w:p>
    <w:p w14:paraId="00CCF1E5" w14:textId="1B749768" w:rsidR="00101CEC" w:rsidRPr="00545CCB" w:rsidRDefault="00101CEC" w:rsidP="009014D1">
      <w:r w:rsidRPr="00545CCB">
        <w:rPr>
          <w:rFonts w:cs="Segoe UI"/>
        </w:rPr>
        <w:t>Two links to sign into Euna:</w:t>
      </w:r>
      <w:r w:rsidRPr="00545CCB">
        <w:rPr>
          <w:rFonts w:cs="Segoe UI"/>
        </w:rPr>
        <w:br/>
        <w:t xml:space="preserve">First link: </w:t>
      </w:r>
      <w:hyperlink r:id="rId5" w:history="1">
        <w:r w:rsidRPr="00545CCB">
          <w:rPr>
            <w:rStyle w:val="Hyperlink"/>
            <w:rFonts w:cs="Segoe UI"/>
          </w:rPr>
          <w:t>Euna Grants - Illinois Community College Board - Awards</w:t>
        </w:r>
      </w:hyperlink>
      <w:r w:rsidRPr="00545CCB">
        <w:rPr>
          <w:rFonts w:cs="Segoe UI"/>
        </w:rPr>
        <w:br/>
        <w:t xml:space="preserve">Second link: </w:t>
      </w:r>
      <w:hyperlink r:id="rId6" w:history="1">
        <w:r w:rsidRPr="00545CCB">
          <w:rPr>
            <w:rStyle w:val="Hyperlink"/>
            <w:rFonts w:cs="Segoe UI"/>
          </w:rPr>
          <w:t>Illinois GATA Grantee Portal</w:t>
        </w:r>
      </w:hyperlink>
      <w:r w:rsidRPr="00545CCB">
        <w:rPr>
          <w:rFonts w:cs="Segoe UI"/>
        </w:rPr>
        <w:br/>
        <w:t> </w:t>
      </w:r>
      <w:r w:rsidRPr="00545CCB">
        <w:rPr>
          <w:rFonts w:cs="Segoe UI"/>
        </w:rPr>
        <w:br/>
        <w:t xml:space="preserve">Euna resource page: </w:t>
      </w:r>
      <w:hyperlink r:id="rId7" w:history="1">
        <w:r w:rsidRPr="00545CCB">
          <w:rPr>
            <w:rStyle w:val="Hyperlink"/>
            <w:rFonts w:cs="Segoe UI"/>
          </w:rPr>
          <w:t>State of Illinois Euna Grants Support</w:t>
        </w:r>
      </w:hyperlink>
      <w:r w:rsidRPr="00545CCB">
        <w:rPr>
          <w:rFonts w:cs="Segoe UI"/>
        </w:rPr>
        <w:t xml:space="preserve"> it includes resources and videos on how to submit or apply for a funding opportunity.</w:t>
      </w:r>
      <w:r w:rsidRPr="00545CCB">
        <w:rPr>
          <w:rFonts w:cs="Segoe UI"/>
        </w:rPr>
        <w:br/>
        <w:t xml:space="preserve">You can find the NOFO and FAQ by clicking on this link: </w:t>
      </w:r>
      <w:hyperlink r:id="rId8" w:history="1">
        <w:r w:rsidRPr="00545CCB">
          <w:rPr>
            <w:rStyle w:val="Hyperlink"/>
            <w:rFonts w:cs="Segoe UI"/>
          </w:rPr>
          <w:t>Grant Opportunities - ICCB</w:t>
        </w:r>
      </w:hyperlink>
    </w:p>
    <w:p w14:paraId="17277D5A" w14:textId="77777777" w:rsidR="0050060F" w:rsidRPr="00545CCB" w:rsidRDefault="0050060F" w:rsidP="009014D1"/>
    <w:p w14:paraId="728A75EA" w14:textId="599B26A2" w:rsidR="0050060F" w:rsidRPr="00545CCB" w:rsidRDefault="0050060F" w:rsidP="009014D1">
      <w:r w:rsidRPr="00545CCB">
        <w:rPr>
          <w:rFonts w:cs="Segoe UI"/>
          <w:b/>
          <w:bCs/>
          <w:u w:val="single"/>
        </w:rPr>
        <w:t>Adult Ed Dashboard:</w:t>
      </w:r>
      <w:r w:rsidRPr="00545CCB">
        <w:rPr>
          <w:rFonts w:cs="Segoe UI"/>
        </w:rPr>
        <w:t xml:space="preserve"> </w:t>
      </w:r>
      <w:hyperlink r:id="rId9" w:history="1">
        <w:r w:rsidRPr="00545CCB">
          <w:rPr>
            <w:rFonts w:cs="Segoe UI"/>
            <w:color w:val="0000FF"/>
            <w:u w:val="single"/>
          </w:rPr>
          <w:t>https://app.powerbi.com/view?r=eyJrIjoiNjJjNTA2MWEtODFmZS00Yzg2LWIyMzYtYTM3NjYyNjEwNTA2IiwidCI6IjZlNDAwMzIxLWMzOTctNDlkMC04NDhiLTZiYjI1NjgxMmNhOSJ9</w:t>
        </w:r>
      </w:hyperlink>
    </w:p>
    <w:p w14:paraId="20034375" w14:textId="77777777" w:rsidR="00545CCB" w:rsidRPr="00545CCB" w:rsidRDefault="00545CCB" w:rsidP="00545CCB">
      <w:pPr>
        <w:spacing w:after="0" w:line="240" w:lineRule="auto"/>
        <w:rPr>
          <w:rFonts w:eastAsia="Times New Roman"/>
        </w:rPr>
      </w:pPr>
    </w:p>
    <w:p w14:paraId="5924A498" w14:textId="77777777" w:rsidR="00545CCB" w:rsidRPr="00545CCB" w:rsidRDefault="00545CCB" w:rsidP="00545CCB">
      <w:pPr>
        <w:spacing w:after="0" w:line="240" w:lineRule="auto"/>
        <w:rPr>
          <w:rFonts w:eastAsia="Times New Roman"/>
        </w:rPr>
      </w:pPr>
      <w:r w:rsidRPr="00545CCB">
        <w:rPr>
          <w:rFonts w:eastAsia="Times New Roman"/>
          <w:b/>
          <w:bCs/>
        </w:rPr>
        <w:t>Question:</w:t>
      </w:r>
      <w:r w:rsidRPr="00545CCB">
        <w:rPr>
          <w:rFonts w:eastAsia="Times New Roman"/>
        </w:rPr>
        <w:t xml:space="preserve"> The current Scope of Work template in </w:t>
      </w:r>
      <w:proofErr w:type="spellStart"/>
      <w:r w:rsidRPr="00545CCB">
        <w:rPr>
          <w:rFonts w:eastAsia="Times New Roman"/>
        </w:rPr>
        <w:t>Amplifund</w:t>
      </w:r>
      <w:proofErr w:type="spellEnd"/>
      <w:r w:rsidRPr="00545CCB">
        <w:rPr>
          <w:rFonts w:eastAsia="Times New Roman"/>
        </w:rPr>
        <w:t xml:space="preserve"> is an unfillable PDF. Are we limited to the Key Activities listed, or can we adapt the template to include activities we develop?</w:t>
      </w:r>
    </w:p>
    <w:p w14:paraId="344C3E71" w14:textId="6A4A3566" w:rsidR="00545CCB" w:rsidRP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You can change the format from PDF to Word to make it fillable and submit it in word form.</w:t>
      </w:r>
    </w:p>
    <w:p w14:paraId="3038409A" w14:textId="77777777" w:rsidR="00545CCB" w:rsidRPr="00545CCB" w:rsidRDefault="00545CCB" w:rsidP="00545CCB">
      <w:pPr>
        <w:spacing w:after="0" w:line="240" w:lineRule="auto"/>
        <w:rPr>
          <w:rFonts w:eastAsia="Times New Roman"/>
          <w:color w:val="000000" w:themeColor="text1"/>
        </w:rPr>
      </w:pPr>
    </w:p>
    <w:p w14:paraId="30F67B30" w14:textId="77777777" w:rsidR="00545CCB" w:rsidRP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Question:</w:t>
      </w:r>
      <w:r w:rsidRPr="00545CCB">
        <w:rPr>
          <w:rFonts w:eastAsia="Times New Roman"/>
          <w:color w:val="000000" w:themeColor="text1"/>
        </w:rPr>
        <w:t xml:space="preserve"> If we do not have any subawards, is N/A acceptable in the FFATA form as a response? </w:t>
      </w:r>
    </w:p>
    <w:p w14:paraId="6C0456D4" w14:textId="73F667A5" w:rsidR="00545CCB" w:rsidRP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xml:space="preserve">: Any program that receives or is expecting to receive $30,000 in Federal dollars </w:t>
      </w:r>
      <w:proofErr w:type="gramStart"/>
      <w:r w:rsidRPr="00545CCB">
        <w:rPr>
          <w:rFonts w:eastAsia="Times New Roman"/>
          <w:color w:val="000000" w:themeColor="text1"/>
        </w:rPr>
        <w:t>has to</w:t>
      </w:r>
      <w:proofErr w:type="gramEnd"/>
      <w:r w:rsidRPr="00545CCB">
        <w:rPr>
          <w:rFonts w:eastAsia="Times New Roman"/>
          <w:color w:val="000000" w:themeColor="text1"/>
        </w:rPr>
        <w:t xml:space="preserve"> </w:t>
      </w:r>
      <w:proofErr w:type="gramStart"/>
      <w:r w:rsidRPr="00545CCB">
        <w:rPr>
          <w:rFonts w:eastAsia="Times New Roman"/>
          <w:color w:val="000000" w:themeColor="text1"/>
        </w:rPr>
        <w:t>submit</w:t>
      </w:r>
      <w:proofErr w:type="gramEnd"/>
      <w:r w:rsidRPr="00545CCB">
        <w:rPr>
          <w:rFonts w:eastAsia="Times New Roman"/>
          <w:color w:val="000000" w:themeColor="text1"/>
        </w:rPr>
        <w:t xml:space="preserve"> the FFATA form.</w:t>
      </w:r>
    </w:p>
    <w:p w14:paraId="1FE53B76" w14:textId="77777777" w:rsidR="00545CCB" w:rsidRPr="00545CCB" w:rsidRDefault="00545CCB" w:rsidP="00545CCB">
      <w:pPr>
        <w:spacing w:after="0" w:line="240" w:lineRule="auto"/>
        <w:rPr>
          <w:rFonts w:eastAsia="Times New Roman"/>
          <w:color w:val="000000" w:themeColor="text1"/>
        </w:rPr>
      </w:pPr>
    </w:p>
    <w:p w14:paraId="4602FA14" w14:textId="77777777" w:rsidR="00545CCB" w:rsidRPr="00545CCB" w:rsidRDefault="00545CCB" w:rsidP="00545CCB">
      <w:pPr>
        <w:spacing w:after="0" w:line="240" w:lineRule="auto"/>
        <w:rPr>
          <w:rFonts w:eastAsia="Times New Roman"/>
          <w:color w:val="000000" w:themeColor="text1"/>
        </w:rPr>
      </w:pPr>
    </w:p>
    <w:p w14:paraId="7A69E28E" w14:textId="77777777" w:rsidR="00545CCB" w:rsidRPr="00545CCB" w:rsidRDefault="00545CCB" w:rsidP="00545CCB">
      <w:pPr>
        <w:spacing w:after="0" w:line="240" w:lineRule="auto"/>
        <w:rPr>
          <w:rFonts w:eastAsia="Times New Roman"/>
          <w:color w:val="000000" w:themeColor="text1"/>
        </w:rPr>
      </w:pPr>
    </w:p>
    <w:p w14:paraId="693B5BB8" w14:textId="77777777" w:rsidR="00545CCB" w:rsidRP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Question:</w:t>
      </w:r>
      <w:r w:rsidRPr="00545CCB">
        <w:rPr>
          <w:rFonts w:eastAsia="Times New Roman"/>
          <w:color w:val="000000" w:themeColor="text1"/>
        </w:rPr>
        <w:t xml:space="preserve"> Should the Non-Match State Budget include both the State Performance and State Basic request or only the State Basic request at this time? </w:t>
      </w:r>
    </w:p>
    <w:p w14:paraId="7D8404CA" w14:textId="07E8AAA9" w:rsidR="00545CCB" w:rsidRP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xml:space="preserve"> Just state </w:t>
      </w:r>
      <w:proofErr w:type="gramStart"/>
      <w:r w:rsidRPr="00545CCB">
        <w:rPr>
          <w:rFonts w:eastAsia="Times New Roman"/>
          <w:color w:val="000000" w:themeColor="text1"/>
        </w:rPr>
        <w:t>basic</w:t>
      </w:r>
      <w:proofErr w:type="gramEnd"/>
      <w:r w:rsidRPr="00545CCB">
        <w:rPr>
          <w:rFonts w:eastAsia="Times New Roman"/>
          <w:color w:val="000000" w:themeColor="text1"/>
        </w:rPr>
        <w:t xml:space="preserve"> for now.</w:t>
      </w:r>
    </w:p>
    <w:p w14:paraId="4D791EA4" w14:textId="77777777" w:rsidR="00545CCB" w:rsidRPr="00545CCB" w:rsidRDefault="00545CCB" w:rsidP="00545CCB">
      <w:pPr>
        <w:spacing w:after="0" w:line="240" w:lineRule="auto"/>
        <w:rPr>
          <w:rFonts w:eastAsia="Times New Roman"/>
          <w:color w:val="000000" w:themeColor="text1"/>
        </w:rPr>
      </w:pPr>
    </w:p>
    <w:p w14:paraId="321DB5CC" w14:textId="6CFB113A" w:rsidR="00545CCB" w:rsidRP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Question</w:t>
      </w:r>
      <w:r w:rsidRPr="00545CCB">
        <w:rPr>
          <w:rFonts w:eastAsia="Times New Roman"/>
          <w:color w:val="000000" w:themeColor="text1"/>
        </w:rPr>
        <w:t xml:space="preserve">: </w:t>
      </w:r>
      <w:proofErr w:type="gramStart"/>
      <w:r w:rsidRPr="00545CCB">
        <w:rPr>
          <w:rFonts w:eastAsia="Times New Roman"/>
          <w:color w:val="000000" w:themeColor="text1"/>
        </w:rPr>
        <w:t>With regard to</w:t>
      </w:r>
      <w:proofErr w:type="gramEnd"/>
      <w:r w:rsidRPr="00545CCB">
        <w:rPr>
          <w:rFonts w:eastAsia="Times New Roman"/>
          <w:color w:val="000000" w:themeColor="text1"/>
        </w:rPr>
        <w:t xml:space="preserve"> the new directions for student support, should instructional supplies that will be retained by the college continue to be placed under supplies? For example, funds will be budgeted for textbooks to limit instructional barriers, but these will not remain with the students after they complete the course. </w:t>
      </w:r>
    </w:p>
    <w:p w14:paraId="4CB8AA4D" w14:textId="6BBDDF74" w:rsidR="00545CCB" w:rsidRDefault="00545CCB" w:rsidP="00545CCB">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xml:space="preserve"> Yes, instructional supplies that will be retained by the college should continue to be budgeted under supplies. If textbooks are purchased to reduce instructional barriers but remain the property of the college and are reused after the course, they should be classified as instructional supplies, not student support.</w:t>
      </w:r>
    </w:p>
    <w:p w14:paraId="28DFB575" w14:textId="77777777" w:rsidR="000B1852" w:rsidRDefault="000B1852" w:rsidP="00545CCB">
      <w:pPr>
        <w:spacing w:after="0" w:line="240" w:lineRule="auto"/>
        <w:rPr>
          <w:rFonts w:eastAsia="Times New Roman"/>
          <w:color w:val="000000" w:themeColor="text1"/>
        </w:rPr>
      </w:pPr>
    </w:p>
    <w:p w14:paraId="0AC52286" w14:textId="77777777" w:rsidR="000B1852" w:rsidRDefault="000B1852" w:rsidP="000B1852">
      <w:pPr>
        <w:pStyle w:val="xmsonormal"/>
      </w:pPr>
      <w:r w:rsidRPr="000B1852">
        <w:rPr>
          <w:rFonts w:eastAsia="Times New Roman"/>
          <w:b/>
          <w:bCs/>
          <w:color w:val="000000" w:themeColor="text1"/>
        </w:rPr>
        <w:t>Question:</w:t>
      </w:r>
      <w:r>
        <w:rPr>
          <w:rFonts w:eastAsia="Times New Roman"/>
          <w:color w:val="000000" w:themeColor="text1"/>
        </w:rPr>
        <w:t xml:space="preserve"> </w:t>
      </w:r>
      <w:r>
        <w:rPr>
          <w:color w:val="000000"/>
        </w:rPr>
        <w:t>We have a question regarding the GATA budget for federal AEFLA funds authorized under Title II of the Workforce Innovation and Opportunity Act (WIOA), along with the required 25% state match in accordance with 34 CFR § 463.60 and 2 CFR § 200.306. When preparing the GATA budget for this portion of the grant, should we separate the federal and state funds to show how each will be used, or should they be combined in the GATA budget? The attached GATA template has a breakdown of State and Non-State funds within each tab, and we want to be sure we are completing that form accurately. </w:t>
      </w:r>
    </w:p>
    <w:p w14:paraId="1F43D019" w14:textId="32CF6055" w:rsidR="000B1852" w:rsidRDefault="000B1852" w:rsidP="000B1852">
      <w:pPr>
        <w:spacing w:after="180"/>
        <w:rPr>
          <w:rFonts w:ascii="Aptos" w:hAnsi="Aptos" w:cs="Times New Roman"/>
        </w:rPr>
      </w:pPr>
      <w:r w:rsidRPr="000B1852">
        <w:rPr>
          <w:rFonts w:eastAsia="Times New Roman"/>
          <w:b/>
          <w:bCs/>
          <w:color w:val="000000" w:themeColor="text1"/>
        </w:rPr>
        <w:t>Answer:</w:t>
      </w:r>
      <w:r w:rsidRPr="000B1852">
        <w:rPr>
          <w:rFonts w:ascii="Times New Roman" w:hAnsi="Times New Roman" w:cs="Times New Roman"/>
        </w:rPr>
        <w:t xml:space="preserve"> </w:t>
      </w:r>
      <w:r w:rsidRPr="000B1852">
        <w:rPr>
          <w:rFonts w:ascii="Aptos" w:hAnsi="Aptos" w:cs="Times New Roman"/>
        </w:rPr>
        <w:t>For the WIOA Title II (AEFLA) portion, the federal funds and the required 25% non-federal match should be included together within the same GATA budget. These funds are considered part of a single award and should be presented as one combined funding stream in the budget to reflect how they collectively support allowable program activities.</w:t>
      </w:r>
    </w:p>
    <w:p w14:paraId="63B71618" w14:textId="77777777" w:rsidR="00FD46B9" w:rsidRDefault="00FD46B9" w:rsidP="00FD46B9">
      <w:pPr>
        <w:rPr>
          <w:rFonts w:ascii="Georgia" w:hAnsi="Georgia"/>
        </w:rPr>
      </w:pPr>
      <w:r w:rsidRPr="00FD46B9">
        <w:rPr>
          <w:rFonts w:ascii="Aptos" w:hAnsi="Aptos" w:cs="Times New Roman"/>
          <w:b/>
          <w:bCs/>
        </w:rPr>
        <w:t>Question:</w:t>
      </w:r>
      <w:r>
        <w:rPr>
          <w:rFonts w:ascii="Georgia" w:hAnsi="Georgia"/>
        </w:rPr>
        <w:t xml:space="preserve"> Do you think ICCB could cover the membership fee for providers to become members of organizations like COABE?</w:t>
      </w:r>
    </w:p>
    <w:p w14:paraId="3C33A814" w14:textId="0932B749" w:rsidR="00FD46B9" w:rsidRDefault="00FD46B9" w:rsidP="00FD46B9">
      <w:pPr>
        <w:rPr>
          <w:rFonts w:ascii="Georgia" w:hAnsi="Georgia"/>
        </w:rPr>
      </w:pPr>
      <w:r w:rsidRPr="00FD46B9">
        <w:rPr>
          <w:rFonts w:ascii="Georgia" w:hAnsi="Georgia"/>
          <w:b/>
          <w:bCs/>
        </w:rPr>
        <w:t>Answer:</w:t>
      </w:r>
      <w:r>
        <w:rPr>
          <w:rFonts w:ascii="Georgia" w:hAnsi="Georgia"/>
        </w:rPr>
        <w:t xml:space="preserve"> YES.</w:t>
      </w:r>
    </w:p>
    <w:p w14:paraId="05F771BE" w14:textId="37A52DD6" w:rsidR="00E87CBD" w:rsidRPr="00E87CBD" w:rsidRDefault="00E87CBD" w:rsidP="00E87CBD">
      <w:p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The Adult Education Data Dashboard reflects program data certified in DAISI and used for Federal Reporting. We have received many questions related to understandings the data – specifically credential attainment:</w:t>
      </w:r>
    </w:p>
    <w:p w14:paraId="00D34B09" w14:textId="264A42D7" w:rsidR="00E87CBD" w:rsidRPr="00E87CBD" w:rsidRDefault="00E87CBD" w:rsidP="00E8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 xml:space="preserve">The Credential Attainment Rate only counts credentials for students enrolled in ICAPS programs. Additionally, the credential rate is a different </w:t>
      </w:r>
      <w:proofErr w:type="gramStart"/>
      <w:r w:rsidRPr="00E87CBD">
        <w:rPr>
          <w:rFonts w:ascii="Times New Roman" w:eastAsia="Times New Roman" w:hAnsi="Times New Roman" w:cs="Times New Roman"/>
          <w:kern w:val="0"/>
          <w14:ligatures w14:val="none"/>
        </w:rPr>
        <w:t>period of time</w:t>
      </w:r>
      <w:proofErr w:type="gramEnd"/>
      <w:r w:rsidRPr="00E87CBD">
        <w:rPr>
          <w:rFonts w:ascii="Times New Roman" w:eastAsia="Times New Roman" w:hAnsi="Times New Roman" w:cs="Times New Roman"/>
          <w:kern w:val="0"/>
          <w14:ligatures w14:val="none"/>
        </w:rPr>
        <w:t xml:space="preserve"> than the MSG rate. MSGs are calculated by Fiscal Year, and the Credential Rate is a Calendar Year – typically 1 year behind the MSG rate. </w:t>
      </w:r>
    </w:p>
    <w:p w14:paraId="44F256E9"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2025, the cohort for Credential Attainment was 1/01/2023 to 12/31/2023</w:t>
      </w:r>
    </w:p>
    <w:p w14:paraId="1FFCFCCB"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2024, the cohort for Credential Attainment was 1/01/2022 to 12/31/2022</w:t>
      </w:r>
    </w:p>
    <w:p w14:paraId="477AB603"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 xml:space="preserve">For State Fiscal Year 2023, the cohort for Credential Attainment </w:t>
      </w:r>
      <w:proofErr w:type="gramStart"/>
      <w:r w:rsidRPr="00E87CBD">
        <w:rPr>
          <w:rFonts w:ascii="Times New Roman" w:eastAsia="Times New Roman" w:hAnsi="Times New Roman" w:cs="Times New Roman"/>
          <w:kern w:val="0"/>
          <w14:ligatures w14:val="none"/>
        </w:rPr>
        <w:t>was</w:t>
      </w:r>
      <w:proofErr w:type="gramEnd"/>
      <w:r w:rsidRPr="00E87CBD">
        <w:rPr>
          <w:rFonts w:ascii="Times New Roman" w:eastAsia="Times New Roman" w:hAnsi="Times New Roman" w:cs="Times New Roman"/>
          <w:kern w:val="0"/>
          <w14:ligatures w14:val="none"/>
        </w:rPr>
        <w:t xml:space="preserve"> 1/01/2021 to 12/31/2021.</w:t>
      </w:r>
    </w:p>
    <w:p w14:paraId="49A568C1" w14:textId="77777777" w:rsidR="00E87CBD" w:rsidRPr="00E87CBD" w:rsidRDefault="00E87CBD" w:rsidP="00E8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Employment 2</w:t>
      </w:r>
      <w:r w:rsidRPr="00E87CBD">
        <w:rPr>
          <w:rFonts w:ascii="Times New Roman" w:eastAsia="Times New Roman" w:hAnsi="Times New Roman" w:cs="Times New Roman"/>
          <w:i/>
          <w:iCs/>
          <w:kern w:val="0"/>
          <w14:ligatures w14:val="none"/>
        </w:rPr>
        <w:t>nd</w:t>
      </w:r>
      <w:r w:rsidRPr="00E87CBD">
        <w:rPr>
          <w:rFonts w:ascii="Times New Roman" w:eastAsia="Times New Roman" w:hAnsi="Times New Roman" w:cs="Times New Roman"/>
          <w:kern w:val="0"/>
          <w14:ligatures w14:val="none"/>
        </w:rPr>
        <w:t xml:space="preserve"> quarter after exit: </w:t>
      </w:r>
    </w:p>
    <w:p w14:paraId="69B0A1E2"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2025, the cohort was 07/01/2023 to 07/01/2024</w:t>
      </w:r>
    </w:p>
    <w:p w14:paraId="383F38EA"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2024, the cohort was 07/01/2022 to 07/01/2023</w:t>
      </w:r>
    </w:p>
    <w:p w14:paraId="6C772C5E"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2023, the cohort was 07/01/2021 to 07/01/2022</w:t>
      </w:r>
    </w:p>
    <w:p w14:paraId="32EDF74E" w14:textId="23A056C1" w:rsidR="00E87CBD" w:rsidRPr="00E87CBD" w:rsidRDefault="00E87CBD" w:rsidP="00E8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lastRenderedPageBreak/>
        <w:t>Employment 4</w:t>
      </w:r>
      <w:r w:rsidRPr="00E87CBD">
        <w:rPr>
          <w:rFonts w:ascii="Times New Roman" w:eastAsia="Times New Roman" w:hAnsi="Times New Roman" w:cs="Times New Roman"/>
          <w:i/>
          <w:iCs/>
          <w:kern w:val="0"/>
          <w14:ligatures w14:val="none"/>
        </w:rPr>
        <w:t>th</w:t>
      </w:r>
      <w:r w:rsidRPr="00E87CBD">
        <w:rPr>
          <w:rFonts w:ascii="Times New Roman" w:eastAsia="Times New Roman" w:hAnsi="Times New Roman" w:cs="Times New Roman"/>
          <w:kern w:val="0"/>
          <w14:ligatures w14:val="none"/>
        </w:rPr>
        <w:t xml:space="preserve"> quarter after exit: </w:t>
      </w:r>
    </w:p>
    <w:p w14:paraId="6E352733"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2025, the cohort was 01/01/2023 to 12/31/2023</w:t>
      </w:r>
    </w:p>
    <w:p w14:paraId="082DD4C1"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2024, the cohort was 01/01/2022 to 12/31/2022</w:t>
      </w:r>
    </w:p>
    <w:p w14:paraId="6147A217" w14:textId="77777777" w:rsidR="00E87CBD" w:rsidRPr="00E87CBD" w:rsidRDefault="00E87CBD" w:rsidP="00E87CB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For State Fiscal Year 2023, the cohort was 01/01/2021 to 12/31/2021</w:t>
      </w:r>
    </w:p>
    <w:p w14:paraId="7E03339E" w14:textId="6E504BCA" w:rsidR="00E87CBD" w:rsidRDefault="00E87CBD" w:rsidP="00E87CBD">
      <w:pPr>
        <w:spacing w:before="100" w:beforeAutospacing="1" w:after="100" w:afterAutospacing="1" w:line="240" w:lineRule="auto"/>
        <w:rPr>
          <w:rFonts w:ascii="Times New Roman" w:eastAsia="Times New Roman" w:hAnsi="Times New Roman" w:cs="Times New Roman"/>
          <w:kern w:val="0"/>
          <w14:ligatures w14:val="none"/>
        </w:rPr>
      </w:pPr>
      <w:r w:rsidRPr="00E87CBD">
        <w:rPr>
          <w:rFonts w:ascii="Times New Roman" w:eastAsia="Times New Roman" w:hAnsi="Times New Roman" w:cs="Times New Roman"/>
          <w:kern w:val="0"/>
          <w14:ligatures w14:val="none"/>
        </w:rPr>
        <w:t> To determine your average, use the Data in the dashboard for each year required (SFY23, SFY24, SFY25) </w:t>
      </w:r>
    </w:p>
    <w:p w14:paraId="27ABCB06" w14:textId="77777777" w:rsidR="00775076" w:rsidRPr="00775076" w:rsidRDefault="00775076" w:rsidP="00775076">
      <w:pPr>
        <w:spacing w:before="100" w:beforeAutospacing="1" w:after="100" w:afterAutospacing="1" w:line="240" w:lineRule="auto"/>
        <w:rPr>
          <w:rFonts w:ascii="Times New Roman" w:eastAsia="Times New Roman" w:hAnsi="Times New Roman" w:cs="Times New Roman"/>
          <w:kern w:val="0"/>
          <w14:ligatures w14:val="none"/>
        </w:rPr>
      </w:pPr>
      <w:r w:rsidRPr="00775076">
        <w:rPr>
          <w:rFonts w:ascii="Times New Roman" w:eastAsia="Times New Roman" w:hAnsi="Times New Roman" w:cs="Times New Roman"/>
          <w:kern w:val="0"/>
          <w14:ligatures w14:val="none"/>
        </w:rPr>
        <w:t>Using the Program Performance Tab, </w:t>
      </w:r>
    </w:p>
    <w:p w14:paraId="04987F06" w14:textId="30979404" w:rsidR="00775076" w:rsidRPr="00775076" w:rsidRDefault="00775076" w:rsidP="007750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75076">
        <w:rPr>
          <w:rFonts w:ascii="Times New Roman" w:eastAsia="Times New Roman" w:hAnsi="Times New Roman" w:cs="Times New Roman"/>
          <w:kern w:val="0"/>
          <w14:ligatures w14:val="none"/>
        </w:rPr>
        <w:t>The Red number reflects the target, and the program data is in Blue. </w:t>
      </w:r>
    </w:p>
    <w:p w14:paraId="694DB47C" w14:textId="6737A23B" w:rsidR="00775076" w:rsidRDefault="00775076" w:rsidP="007750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75076">
        <w:rPr>
          <w:rFonts w:ascii="Times New Roman" w:eastAsia="Times New Roman" w:hAnsi="Times New Roman" w:cs="Times New Roman"/>
          <w:kern w:val="0"/>
          <w14:ligatures w14:val="none"/>
        </w:rPr>
        <w:t>Where do I find the 3-year number to include in the demonstrated effectiveness form?  These numbers need to be calculated by looking at the data in State Fiscal Year 2023, State Fiscal Year 2024, and State Fiscal Year 2025. </w:t>
      </w:r>
    </w:p>
    <w:p w14:paraId="434FBAE2" w14:textId="74DD4DEC" w:rsidR="006449D9" w:rsidRDefault="006449D9" w:rsidP="006449D9">
      <w:pPr>
        <w:spacing w:before="100" w:beforeAutospacing="1" w:after="100" w:afterAutospacing="1" w:line="240" w:lineRule="auto"/>
        <w:rPr>
          <w:rFonts w:ascii="Times New Roman" w:eastAsia="Times New Roman" w:hAnsi="Times New Roman" w:cs="Times New Roman"/>
          <w:kern w:val="0"/>
          <w14:ligatures w14:val="none"/>
        </w:rPr>
      </w:pPr>
      <w:r w:rsidRPr="006449D9">
        <w:rPr>
          <w:rFonts w:ascii="Times New Roman" w:eastAsia="Times New Roman" w:hAnsi="Times New Roman" w:cs="Times New Roman"/>
          <w:b/>
          <w:bCs/>
          <w:kern w:val="0"/>
          <w14:ligatures w14:val="none"/>
        </w:rPr>
        <w:t>Questions:</w:t>
      </w:r>
      <w:r>
        <w:rPr>
          <w:rFonts w:ascii="Times New Roman" w:eastAsia="Times New Roman" w:hAnsi="Times New Roman" w:cs="Times New Roman"/>
          <w:kern w:val="0"/>
          <w14:ligatures w14:val="none"/>
        </w:rPr>
        <w:t xml:space="preserve"> </w:t>
      </w:r>
      <w:r w:rsidRPr="006449D9">
        <w:rPr>
          <w:rFonts w:ascii="Times New Roman" w:eastAsia="Times New Roman" w:hAnsi="Times New Roman" w:cs="Times New Roman"/>
          <w:kern w:val="0"/>
          <w14:ligatures w14:val="none"/>
        </w:rPr>
        <w:t>What is meant by “rolled up” measurable skill gain?</w:t>
      </w:r>
    </w:p>
    <w:p w14:paraId="7EF3D312" w14:textId="1FCC0168" w:rsidR="006449D9" w:rsidRDefault="006449D9" w:rsidP="006449D9">
      <w:pPr>
        <w:spacing w:before="100" w:beforeAutospacing="1" w:after="100" w:afterAutospacing="1" w:line="240" w:lineRule="auto"/>
        <w:rPr>
          <w:rFonts w:ascii="Times New Roman" w:eastAsia="Times New Roman" w:hAnsi="Times New Roman" w:cs="Times New Roman"/>
          <w:kern w:val="0"/>
          <w14:ligatures w14:val="none"/>
        </w:rPr>
      </w:pPr>
      <w:r w:rsidRPr="006449D9">
        <w:rPr>
          <w:rFonts w:ascii="Times New Roman" w:eastAsia="Times New Roman" w:hAnsi="Times New Roman" w:cs="Times New Roman"/>
          <w:b/>
          <w:bCs/>
          <w:kern w:val="0"/>
          <w14:ligatures w14:val="none"/>
        </w:rPr>
        <w:t>Answer:</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Instead of averaging yearly MSG rates, you: add all students who achieved MSG across FY23, 24 and 25. Add all students served across those same years and divide the totals</w:t>
      </w:r>
    </w:p>
    <w:p w14:paraId="7E97F00B" w14:textId="7FB9BCFB" w:rsidR="006449D9" w:rsidRPr="006449D9" w:rsidRDefault="006449D9" w:rsidP="006449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Rolled-up MSG rate= Total MSG achievers ( 3 years) </w:t>
      </w:r>
      <w:r w:rsidR="007C7125">
        <w:rPr>
          <w:rFonts w:ascii="Times New Roman" w:eastAsia="Times New Roman" w:hAnsi="Times New Roman" w:cs="Times New Roman"/>
          <w:kern w:val="0"/>
          <w14:ligatures w14:val="none"/>
        </w:rPr>
        <w:t>/ Total participants (3 years)</w:t>
      </w:r>
    </w:p>
    <w:p w14:paraId="264A5FB3" w14:textId="2E13AABF" w:rsidR="006449D9" w:rsidRDefault="006449D9" w:rsidP="006449D9">
      <w:pPr>
        <w:spacing w:before="100" w:beforeAutospacing="1" w:after="100" w:afterAutospacing="1" w:line="240" w:lineRule="auto"/>
        <w:rPr>
          <w:rFonts w:ascii="Times New Roman" w:eastAsia="Times New Roman" w:hAnsi="Times New Roman" w:cs="Times New Roman"/>
          <w:kern w:val="0"/>
          <w14:ligatures w14:val="none"/>
        </w:rPr>
      </w:pPr>
      <w:r w:rsidRPr="006449D9">
        <w:rPr>
          <w:rFonts w:ascii="Times New Roman" w:eastAsia="Times New Roman" w:hAnsi="Times New Roman" w:cs="Times New Roman"/>
          <w:b/>
          <w:bCs/>
          <w:kern w:val="0"/>
          <w14:ligatures w14:val="none"/>
        </w:rPr>
        <w:t>Question:</w:t>
      </w:r>
      <w:r>
        <w:rPr>
          <w:rFonts w:ascii="Times New Roman" w:eastAsia="Times New Roman" w:hAnsi="Times New Roman" w:cs="Times New Roman"/>
          <w:kern w:val="0"/>
          <w14:ligatures w14:val="none"/>
        </w:rPr>
        <w:t xml:space="preserve"> </w:t>
      </w:r>
      <w:r w:rsidRPr="006449D9">
        <w:rPr>
          <w:rFonts w:ascii="Times New Roman" w:eastAsia="Times New Roman" w:hAnsi="Times New Roman" w:cs="Times New Roman"/>
          <w:kern w:val="0"/>
          <w14:ligatures w14:val="none"/>
        </w:rPr>
        <w:t>What report would I need to run in DAISI to provide evidence of our rolled up measurable skill gain percentage for FY23-FY25?</w:t>
      </w:r>
    </w:p>
    <w:p w14:paraId="299E6891" w14:textId="77777777" w:rsidR="006449D9" w:rsidRPr="00545CCB" w:rsidRDefault="006449D9" w:rsidP="006449D9">
      <w:r w:rsidRPr="006449D9">
        <w:rPr>
          <w:rFonts w:ascii="Times New Roman" w:eastAsia="Times New Roman" w:hAnsi="Times New Roman" w:cs="Times New Roman"/>
          <w:b/>
          <w:bCs/>
          <w:kern w:val="0"/>
          <w14:ligatures w14:val="none"/>
        </w:rPr>
        <w:t xml:space="preserve">Answer: </w:t>
      </w:r>
      <w:r>
        <w:rPr>
          <w:rFonts w:ascii="Times New Roman" w:eastAsia="Times New Roman" w:hAnsi="Times New Roman" w:cs="Times New Roman"/>
          <w:kern w:val="0"/>
          <w14:ligatures w14:val="none"/>
        </w:rPr>
        <w:t xml:space="preserve">You can find data on the data dashboard: </w:t>
      </w:r>
      <w:hyperlink r:id="rId10" w:history="1">
        <w:r w:rsidRPr="00545CCB">
          <w:rPr>
            <w:rFonts w:cs="Segoe UI"/>
            <w:color w:val="0000FF"/>
            <w:u w:val="single"/>
          </w:rPr>
          <w:t>https://app.powerbi.com/view?r=eyJrIjoiNjJjNTA2MWEtODFmZS00Yzg2LWIyMzYtYTM3NjYyNjEwNTA2IiwidCI6IjZlNDAwMzIxLWMzOTctNDlkMC04NDhiLTZiYjI1NjgxMmNhOSJ9</w:t>
        </w:r>
      </w:hyperlink>
    </w:p>
    <w:p w14:paraId="6511F8CC" w14:textId="720BACB9" w:rsidR="00775076" w:rsidRDefault="00C72890" w:rsidP="00775076">
      <w:pPr>
        <w:spacing w:before="100" w:beforeAutospacing="1" w:after="100" w:afterAutospacing="1" w:line="240" w:lineRule="auto"/>
        <w:rPr>
          <w:rFonts w:ascii="Times New Roman" w:eastAsia="Times New Roman" w:hAnsi="Times New Roman" w:cs="Times New Roman"/>
          <w:kern w:val="0"/>
          <w14:ligatures w14:val="none"/>
        </w:rPr>
      </w:pPr>
      <w:r w:rsidRPr="00C72890">
        <w:rPr>
          <w:rFonts w:ascii="Times New Roman" w:eastAsia="Times New Roman" w:hAnsi="Times New Roman" w:cs="Times New Roman"/>
          <w:b/>
          <w:bCs/>
          <w:kern w:val="0"/>
          <w14:ligatures w14:val="none"/>
        </w:rPr>
        <w:t>Question:</w:t>
      </w:r>
      <w:r w:rsidR="00775076" w:rsidRPr="00C72890">
        <w:rPr>
          <w:rFonts w:ascii="Times New Roman" w:eastAsia="Times New Roman" w:hAnsi="Times New Roman" w:cs="Times New Roman"/>
          <w:b/>
          <w:bCs/>
          <w:kern w:val="0"/>
          <w14:ligatures w14:val="none"/>
        </w:rPr>
        <w:t> </w:t>
      </w:r>
      <w:r w:rsidRPr="00C72890">
        <w:rPr>
          <w:rFonts w:ascii="Times New Roman" w:eastAsia="Times New Roman" w:hAnsi="Times New Roman" w:cs="Times New Roman"/>
          <w:kern w:val="0"/>
          <w14:ligatures w14:val="none"/>
        </w:rPr>
        <w:t>The district is looking to administer a rent to the Adult Education program at Mundelein. </w:t>
      </w:r>
    </w:p>
    <w:p w14:paraId="7D8FFC69" w14:textId="0EEE5EF6" w:rsidR="00C72890" w:rsidRPr="00C72890" w:rsidRDefault="00C72890" w:rsidP="00775076">
      <w:pPr>
        <w:spacing w:before="100" w:beforeAutospacing="1" w:after="100" w:afterAutospacing="1" w:line="240" w:lineRule="auto"/>
        <w:rPr>
          <w:rFonts w:ascii="Times New Roman" w:eastAsia="Times New Roman" w:hAnsi="Times New Roman" w:cs="Times New Roman"/>
          <w:kern w:val="0"/>
          <w14:ligatures w14:val="none"/>
        </w:rPr>
      </w:pPr>
      <w:r w:rsidRPr="00C72890">
        <w:rPr>
          <w:rFonts w:ascii="Times New Roman" w:eastAsia="Times New Roman" w:hAnsi="Times New Roman" w:cs="Times New Roman"/>
          <w:b/>
          <w:bCs/>
          <w:kern w:val="0"/>
          <w14:ligatures w14:val="none"/>
        </w:rPr>
        <w:t>Answer:</w:t>
      </w:r>
      <w:r>
        <w:rPr>
          <w:rFonts w:ascii="Times New Roman" w:eastAsia="Times New Roman" w:hAnsi="Times New Roman" w:cs="Times New Roman"/>
          <w:b/>
          <w:bCs/>
          <w:kern w:val="0"/>
          <w14:ligatures w14:val="none"/>
        </w:rPr>
        <w:t xml:space="preserve"> </w:t>
      </w:r>
      <w:r w:rsidRPr="00C72890">
        <w:rPr>
          <w:rFonts w:ascii="Times New Roman" w:eastAsia="Times New Roman" w:hAnsi="Times New Roman" w:cs="Times New Roman"/>
          <w:kern w:val="0"/>
          <w14:ligatures w14:val="none"/>
        </w:rPr>
        <w:t>It is an allowable expense</w:t>
      </w:r>
    </w:p>
    <w:p w14:paraId="7D829EB2" w14:textId="77777777" w:rsidR="00775076" w:rsidRPr="00775076" w:rsidRDefault="00775076" w:rsidP="00775076">
      <w:pPr>
        <w:spacing w:before="100" w:beforeAutospacing="1" w:after="100" w:afterAutospacing="1" w:line="240" w:lineRule="auto"/>
        <w:rPr>
          <w:rFonts w:ascii="Times New Roman" w:eastAsia="Times New Roman" w:hAnsi="Times New Roman" w:cs="Times New Roman"/>
          <w:kern w:val="0"/>
          <w14:ligatures w14:val="none"/>
        </w:rPr>
      </w:pPr>
      <w:r w:rsidRPr="00775076">
        <w:rPr>
          <w:rFonts w:ascii="Times New Roman" w:eastAsia="Times New Roman" w:hAnsi="Times New Roman" w:cs="Times New Roman"/>
          <w:kern w:val="0"/>
          <w14:ligatures w14:val="none"/>
        </w:rPr>
        <w:t> </w:t>
      </w:r>
    </w:p>
    <w:p w14:paraId="3B644FA1" w14:textId="77777777" w:rsidR="00775076" w:rsidRPr="00E87CBD" w:rsidRDefault="00775076" w:rsidP="00E87CBD">
      <w:pPr>
        <w:spacing w:before="100" w:beforeAutospacing="1" w:after="100" w:afterAutospacing="1" w:line="240" w:lineRule="auto"/>
        <w:rPr>
          <w:rFonts w:ascii="Times New Roman" w:eastAsia="Times New Roman" w:hAnsi="Times New Roman" w:cs="Times New Roman"/>
          <w:kern w:val="0"/>
          <w14:ligatures w14:val="none"/>
        </w:rPr>
      </w:pPr>
    </w:p>
    <w:p w14:paraId="3A7F3F7D" w14:textId="77777777" w:rsidR="00E87CBD" w:rsidRDefault="00E87CBD" w:rsidP="00FD46B9">
      <w:pPr>
        <w:rPr>
          <w:rFonts w:ascii="Georgia" w:hAnsi="Georgia"/>
        </w:rPr>
      </w:pPr>
    </w:p>
    <w:p w14:paraId="1269F345" w14:textId="24C3EB26" w:rsidR="00FD46B9" w:rsidRPr="000B1852" w:rsidRDefault="00FD46B9" w:rsidP="000B1852">
      <w:pPr>
        <w:spacing w:after="180"/>
        <w:rPr>
          <w:rFonts w:ascii="Aptos" w:hAnsi="Aptos" w:cs="Times New Roman"/>
        </w:rPr>
      </w:pPr>
    </w:p>
    <w:p w14:paraId="3A337A48" w14:textId="079323C1" w:rsidR="000B1852" w:rsidRPr="000B1852" w:rsidRDefault="000B1852" w:rsidP="000B1852">
      <w:pPr>
        <w:spacing w:after="0" w:line="240" w:lineRule="auto"/>
        <w:rPr>
          <w:rFonts w:eastAsia="Times New Roman"/>
          <w:b/>
          <w:bCs/>
          <w:color w:val="000000" w:themeColor="text1"/>
        </w:rPr>
      </w:pPr>
      <w:r w:rsidRPr="000B1852">
        <w:rPr>
          <w:rFonts w:ascii="Aptos" w:eastAsia="Times New Roman" w:hAnsi="Aptos"/>
        </w:rPr>
        <w:br/>
      </w:r>
    </w:p>
    <w:p w14:paraId="4388980F" w14:textId="77777777" w:rsidR="009014D1" w:rsidRPr="00545CCB" w:rsidRDefault="009014D1" w:rsidP="009014D1">
      <w:pPr>
        <w:rPr>
          <w:color w:val="000000" w:themeColor="text1"/>
        </w:rPr>
      </w:pPr>
    </w:p>
    <w:p w14:paraId="3CC28ABE" w14:textId="77777777" w:rsidR="009014D1" w:rsidRPr="009014D1" w:rsidRDefault="009014D1">
      <w:pPr>
        <w:rPr>
          <w:b/>
          <w:bCs/>
          <w:sz w:val="28"/>
          <w:szCs w:val="28"/>
          <w:u w:val="single"/>
        </w:rPr>
      </w:pPr>
    </w:p>
    <w:sectPr w:rsidR="009014D1" w:rsidRPr="009014D1" w:rsidSect="009014D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2DD9"/>
    <w:multiLevelType w:val="multilevel"/>
    <w:tmpl w:val="27C03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E72AB"/>
    <w:multiLevelType w:val="hybridMultilevel"/>
    <w:tmpl w:val="7D50F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AC4D87"/>
    <w:multiLevelType w:val="multilevel"/>
    <w:tmpl w:val="EABC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3253">
    <w:abstractNumId w:val="1"/>
  </w:num>
  <w:num w:numId="2" w16cid:durableId="41248819">
    <w:abstractNumId w:val="0"/>
  </w:num>
  <w:num w:numId="3" w16cid:durableId="1302225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D1"/>
    <w:rsid w:val="000B1852"/>
    <w:rsid w:val="00101CEC"/>
    <w:rsid w:val="00175B8B"/>
    <w:rsid w:val="003936EC"/>
    <w:rsid w:val="0050060F"/>
    <w:rsid w:val="00545CCB"/>
    <w:rsid w:val="006449D9"/>
    <w:rsid w:val="00775076"/>
    <w:rsid w:val="007C7125"/>
    <w:rsid w:val="008F0349"/>
    <w:rsid w:val="009014D1"/>
    <w:rsid w:val="009658C5"/>
    <w:rsid w:val="009F034F"/>
    <w:rsid w:val="00A42766"/>
    <w:rsid w:val="00A92747"/>
    <w:rsid w:val="00C71816"/>
    <w:rsid w:val="00C72890"/>
    <w:rsid w:val="00D10E44"/>
    <w:rsid w:val="00E0603F"/>
    <w:rsid w:val="00E447F2"/>
    <w:rsid w:val="00E87CBD"/>
    <w:rsid w:val="00FD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184E"/>
  <w15:chartTrackingRefBased/>
  <w15:docId w15:val="{C5A84C4A-5918-4FE2-BC39-2E1866D8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4D1"/>
    <w:rPr>
      <w:rFonts w:eastAsiaTheme="majorEastAsia" w:cstheme="majorBidi"/>
      <w:color w:val="272727" w:themeColor="text1" w:themeTint="D8"/>
    </w:rPr>
  </w:style>
  <w:style w:type="paragraph" w:styleId="Title">
    <w:name w:val="Title"/>
    <w:basedOn w:val="Normal"/>
    <w:next w:val="Normal"/>
    <w:link w:val="TitleChar"/>
    <w:uiPriority w:val="10"/>
    <w:qFormat/>
    <w:rsid w:val="0090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4D1"/>
    <w:pPr>
      <w:spacing w:before="160"/>
      <w:jc w:val="center"/>
    </w:pPr>
    <w:rPr>
      <w:i/>
      <w:iCs/>
      <w:color w:val="404040" w:themeColor="text1" w:themeTint="BF"/>
    </w:rPr>
  </w:style>
  <w:style w:type="character" w:customStyle="1" w:styleId="QuoteChar">
    <w:name w:val="Quote Char"/>
    <w:basedOn w:val="DefaultParagraphFont"/>
    <w:link w:val="Quote"/>
    <w:uiPriority w:val="29"/>
    <w:rsid w:val="009014D1"/>
    <w:rPr>
      <w:i/>
      <w:iCs/>
      <w:color w:val="404040" w:themeColor="text1" w:themeTint="BF"/>
    </w:rPr>
  </w:style>
  <w:style w:type="paragraph" w:styleId="ListParagraph">
    <w:name w:val="List Paragraph"/>
    <w:basedOn w:val="Normal"/>
    <w:uiPriority w:val="34"/>
    <w:qFormat/>
    <w:rsid w:val="009014D1"/>
    <w:pPr>
      <w:ind w:left="720"/>
      <w:contextualSpacing/>
    </w:pPr>
  </w:style>
  <w:style w:type="character" w:styleId="IntenseEmphasis">
    <w:name w:val="Intense Emphasis"/>
    <w:basedOn w:val="DefaultParagraphFont"/>
    <w:uiPriority w:val="21"/>
    <w:qFormat/>
    <w:rsid w:val="009014D1"/>
    <w:rPr>
      <w:i/>
      <w:iCs/>
      <w:color w:val="0F4761" w:themeColor="accent1" w:themeShade="BF"/>
    </w:rPr>
  </w:style>
  <w:style w:type="paragraph" w:styleId="IntenseQuote">
    <w:name w:val="Intense Quote"/>
    <w:basedOn w:val="Normal"/>
    <w:next w:val="Normal"/>
    <w:link w:val="IntenseQuoteChar"/>
    <w:uiPriority w:val="30"/>
    <w:qFormat/>
    <w:rsid w:val="00901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4D1"/>
    <w:rPr>
      <w:i/>
      <w:iCs/>
      <w:color w:val="0F4761" w:themeColor="accent1" w:themeShade="BF"/>
    </w:rPr>
  </w:style>
  <w:style w:type="character" w:styleId="IntenseReference">
    <w:name w:val="Intense Reference"/>
    <w:basedOn w:val="DefaultParagraphFont"/>
    <w:uiPriority w:val="32"/>
    <w:qFormat/>
    <w:rsid w:val="009014D1"/>
    <w:rPr>
      <w:b/>
      <w:bCs/>
      <w:smallCaps/>
      <w:color w:val="0F4761" w:themeColor="accent1" w:themeShade="BF"/>
      <w:spacing w:val="5"/>
    </w:rPr>
  </w:style>
  <w:style w:type="character" w:styleId="Hyperlink">
    <w:name w:val="Hyperlink"/>
    <w:basedOn w:val="DefaultParagraphFont"/>
    <w:uiPriority w:val="99"/>
    <w:semiHidden/>
    <w:unhideWhenUsed/>
    <w:rsid w:val="00101CEC"/>
    <w:rPr>
      <w:color w:val="0000FF"/>
      <w:u w:val="single"/>
    </w:rPr>
  </w:style>
  <w:style w:type="paragraph" w:customStyle="1" w:styleId="xmsonormal">
    <w:name w:val="x_msonormal"/>
    <w:basedOn w:val="Normal"/>
    <w:rsid w:val="000B1852"/>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2867">
      <w:bodyDiv w:val="1"/>
      <w:marLeft w:val="0"/>
      <w:marRight w:val="0"/>
      <w:marTop w:val="0"/>
      <w:marBottom w:val="0"/>
      <w:divBdr>
        <w:top w:val="none" w:sz="0" w:space="0" w:color="auto"/>
        <w:left w:val="none" w:sz="0" w:space="0" w:color="auto"/>
        <w:bottom w:val="none" w:sz="0" w:space="0" w:color="auto"/>
        <w:right w:val="none" w:sz="0" w:space="0" w:color="auto"/>
      </w:divBdr>
    </w:div>
    <w:div w:id="744762148">
      <w:bodyDiv w:val="1"/>
      <w:marLeft w:val="0"/>
      <w:marRight w:val="0"/>
      <w:marTop w:val="0"/>
      <w:marBottom w:val="0"/>
      <w:divBdr>
        <w:top w:val="none" w:sz="0" w:space="0" w:color="auto"/>
        <w:left w:val="none" w:sz="0" w:space="0" w:color="auto"/>
        <w:bottom w:val="none" w:sz="0" w:space="0" w:color="auto"/>
        <w:right w:val="none" w:sz="0" w:space="0" w:color="auto"/>
      </w:divBdr>
    </w:div>
    <w:div w:id="830175008">
      <w:bodyDiv w:val="1"/>
      <w:marLeft w:val="0"/>
      <w:marRight w:val="0"/>
      <w:marTop w:val="0"/>
      <w:marBottom w:val="0"/>
      <w:divBdr>
        <w:top w:val="none" w:sz="0" w:space="0" w:color="auto"/>
        <w:left w:val="none" w:sz="0" w:space="0" w:color="auto"/>
        <w:bottom w:val="none" w:sz="0" w:space="0" w:color="auto"/>
        <w:right w:val="none" w:sz="0" w:space="0" w:color="auto"/>
      </w:divBdr>
    </w:div>
    <w:div w:id="949512967">
      <w:bodyDiv w:val="1"/>
      <w:marLeft w:val="0"/>
      <w:marRight w:val="0"/>
      <w:marTop w:val="0"/>
      <w:marBottom w:val="0"/>
      <w:divBdr>
        <w:top w:val="none" w:sz="0" w:space="0" w:color="auto"/>
        <w:left w:val="none" w:sz="0" w:space="0" w:color="auto"/>
        <w:bottom w:val="none" w:sz="0" w:space="0" w:color="auto"/>
        <w:right w:val="none" w:sz="0" w:space="0" w:color="auto"/>
      </w:divBdr>
    </w:div>
    <w:div w:id="1333987807">
      <w:bodyDiv w:val="1"/>
      <w:marLeft w:val="0"/>
      <w:marRight w:val="0"/>
      <w:marTop w:val="0"/>
      <w:marBottom w:val="0"/>
      <w:divBdr>
        <w:top w:val="none" w:sz="0" w:space="0" w:color="auto"/>
        <w:left w:val="none" w:sz="0" w:space="0" w:color="auto"/>
        <w:bottom w:val="none" w:sz="0" w:space="0" w:color="auto"/>
        <w:right w:val="none" w:sz="0" w:space="0" w:color="auto"/>
      </w:divBdr>
    </w:div>
    <w:div w:id="1429421417">
      <w:bodyDiv w:val="1"/>
      <w:marLeft w:val="0"/>
      <w:marRight w:val="0"/>
      <w:marTop w:val="0"/>
      <w:marBottom w:val="0"/>
      <w:divBdr>
        <w:top w:val="none" w:sz="0" w:space="0" w:color="auto"/>
        <w:left w:val="none" w:sz="0" w:space="0" w:color="auto"/>
        <w:bottom w:val="none" w:sz="0" w:space="0" w:color="auto"/>
        <w:right w:val="none" w:sz="0" w:space="0" w:color="auto"/>
      </w:divBdr>
    </w:div>
    <w:div w:id="19215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b.org/grant-opportunities/" TargetMode="External"/><Relationship Id="rId3" Type="http://schemas.openxmlformats.org/officeDocument/2006/relationships/settings" Target="settings.xml"/><Relationship Id="rId7" Type="http://schemas.openxmlformats.org/officeDocument/2006/relationships/hyperlink" Target="https://il-amplifund.zendesk.com/hc/en-us?flash_digest=a7debbb27e5664e90e5bb33e8df381f27e7f34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illinois.gov/portal/" TargetMode="External"/><Relationship Id="rId11" Type="http://schemas.openxmlformats.org/officeDocument/2006/relationships/fontTable" Target="fontTable.xml"/><Relationship Id="rId5" Type="http://schemas.openxmlformats.org/officeDocument/2006/relationships/hyperlink" Target="https://il.amplifund.com/Funds/Awards?module=cam" TargetMode="External"/><Relationship Id="rId10" Type="http://schemas.openxmlformats.org/officeDocument/2006/relationships/hyperlink" Target="https://app.powerbi.com/view?r=eyJrIjoiNjJjNTA2MWEtODFmZS00Yzg2LWIyMzYtYTM3NjYyNjEwNTA2IiwidCI6IjZlNDAwMzIxLWMzOTctNDlkMC04NDhiLTZiYjI1NjgxMmNhOSJ9" TargetMode="External"/><Relationship Id="rId4" Type="http://schemas.openxmlformats.org/officeDocument/2006/relationships/webSettings" Target="webSettings.xml"/><Relationship Id="rId9" Type="http://schemas.openxmlformats.org/officeDocument/2006/relationships/hyperlink" Target="https://app.powerbi.com/view?r=eyJrIjoiNjJjNTA2MWEtODFmZS00Yzg2LWIyMzYtYTM3NjYyNjEwNTA2IiwidCI6IjZlNDAwMzIxLWMzOTctNDlkMC04NDhiLTZiYjI1NjgxMmNhOS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Rupa</dc:creator>
  <cp:keywords/>
  <dc:description/>
  <cp:lastModifiedBy>Sameer, Rupa</cp:lastModifiedBy>
  <cp:revision>3</cp:revision>
  <dcterms:created xsi:type="dcterms:W3CDTF">2026-04-02T17:19:00Z</dcterms:created>
  <dcterms:modified xsi:type="dcterms:W3CDTF">2026-04-02T23:11:00Z</dcterms:modified>
</cp:coreProperties>
</file>