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7E" w:rsidRPr="003715C1" w:rsidRDefault="00FB2F0F" w:rsidP="00B61D7E">
      <w:pPr>
        <w:rPr>
          <w:rFonts w:ascii="Times New Roman" w:hAnsi="Times New Roman" w:cs="Times New Roman"/>
          <w:i/>
          <w:iCs/>
          <w:sz w:val="22"/>
          <w:szCs w:val="22"/>
        </w:rPr>
      </w:pPr>
      <w:r w:rsidRPr="003715C1">
        <w:rPr>
          <w:sz w:val="24"/>
          <w:szCs w:val="24"/>
          <w:lang w:val="en-CA"/>
        </w:rPr>
        <w:t xml:space="preserve">Illinois Community College Board </w:t>
      </w:r>
      <w:r w:rsidR="005F1876" w:rsidRPr="003715C1">
        <w:rPr>
          <w:sz w:val="24"/>
          <w:szCs w:val="24"/>
          <w:lang w:val="en-CA"/>
        </w:rPr>
        <w:fldChar w:fldCharType="begin"/>
      </w:r>
      <w:r w:rsidR="00B61D7E" w:rsidRPr="003715C1">
        <w:rPr>
          <w:sz w:val="24"/>
          <w:szCs w:val="24"/>
          <w:lang w:val="en-CA"/>
        </w:rPr>
        <w:instrText xml:space="preserve"> SEQ CHAPTER \h \r 1</w:instrText>
      </w:r>
      <w:r w:rsidR="005F1876" w:rsidRPr="003715C1">
        <w:rPr>
          <w:sz w:val="24"/>
          <w:szCs w:val="24"/>
          <w:lang w:val="en-CA"/>
        </w:rPr>
        <w:fldChar w:fldCharType="end"/>
      </w:r>
      <w:r w:rsidR="00B61D7E" w:rsidRPr="003715C1">
        <w:rPr>
          <w:rFonts w:ascii="Times New Roman" w:hAnsi="Times New Roman" w:cs="Times New Roman"/>
          <w:sz w:val="24"/>
          <w:szCs w:val="24"/>
        </w:rPr>
        <w:t>Data and Characteristics —</w:t>
      </w:r>
      <w:r w:rsidR="00FA6C8E" w:rsidRPr="003715C1">
        <w:rPr>
          <w:rFonts w:ascii="Times New Roman" w:hAnsi="Times New Roman" w:cs="Times New Roman"/>
          <w:i/>
          <w:iCs/>
          <w:sz w:val="22"/>
          <w:szCs w:val="22"/>
        </w:rPr>
        <w:t xml:space="preserve"> 2011</w:t>
      </w:r>
    </w:p>
    <w:p w:rsidR="00B61D7E" w:rsidRPr="003715C1" w:rsidRDefault="00B61D7E" w:rsidP="00B61D7E">
      <w:pPr>
        <w:jc w:val="center"/>
        <w:rPr>
          <w:rFonts w:ascii="Times New Roman" w:hAnsi="Times New Roman" w:cs="Times New Roman"/>
          <w:i/>
          <w:iCs/>
          <w:sz w:val="22"/>
          <w:szCs w:val="22"/>
        </w:rPr>
      </w:pPr>
    </w:p>
    <w:p w:rsidR="00B61D7E" w:rsidRPr="003715C1" w:rsidRDefault="005F1876" w:rsidP="00B61D7E">
      <w:pPr>
        <w:jc w:val="center"/>
        <w:rPr>
          <w:sz w:val="24"/>
          <w:szCs w:val="24"/>
        </w:rPr>
      </w:pPr>
      <w:r w:rsidRPr="003715C1">
        <w:rPr>
          <w:sz w:val="24"/>
          <w:szCs w:val="24"/>
          <w:lang w:val="en-CA"/>
        </w:rPr>
        <w:fldChar w:fldCharType="begin"/>
      </w:r>
      <w:r w:rsidR="00B61D7E" w:rsidRPr="003715C1">
        <w:rPr>
          <w:sz w:val="24"/>
          <w:szCs w:val="24"/>
          <w:lang w:val="en-CA"/>
        </w:rPr>
        <w:instrText xml:space="preserve"> SEQ CHAPTER \h \r 1</w:instrText>
      </w:r>
      <w:r w:rsidRPr="003715C1">
        <w:rPr>
          <w:sz w:val="24"/>
          <w:szCs w:val="24"/>
          <w:lang w:val="en-CA"/>
        </w:rPr>
        <w:fldChar w:fldCharType="end"/>
      </w:r>
      <w:r w:rsidR="00B61D7E" w:rsidRPr="003715C1">
        <w:rPr>
          <w:sz w:val="24"/>
          <w:szCs w:val="24"/>
        </w:rPr>
        <w:t>Section I</w:t>
      </w:r>
    </w:p>
    <w:p w:rsidR="00B61D7E" w:rsidRPr="003715C1" w:rsidRDefault="00B61D7E" w:rsidP="00B61D7E">
      <w:pPr>
        <w:rPr>
          <w:sz w:val="24"/>
          <w:szCs w:val="24"/>
        </w:rPr>
      </w:pPr>
    </w:p>
    <w:p w:rsidR="00B61D7E" w:rsidRPr="003715C1" w:rsidRDefault="00B61D7E" w:rsidP="00B61D7E">
      <w:pPr>
        <w:jc w:val="center"/>
        <w:rPr>
          <w:sz w:val="24"/>
          <w:szCs w:val="24"/>
        </w:rPr>
      </w:pPr>
      <w:r w:rsidRPr="003715C1">
        <w:rPr>
          <w:sz w:val="24"/>
          <w:szCs w:val="24"/>
        </w:rPr>
        <w:t>FALL STUDENT CHARACTERISTICS</w:t>
      </w:r>
    </w:p>
    <w:p w:rsidR="00B61D7E" w:rsidRPr="003715C1" w:rsidRDefault="00B61D7E" w:rsidP="00B61D7E">
      <w:pPr>
        <w:rPr>
          <w:sz w:val="24"/>
          <w:szCs w:val="24"/>
        </w:rPr>
      </w:pPr>
    </w:p>
    <w:p w:rsidR="00B61D7E" w:rsidRPr="003715C1" w:rsidRDefault="00B61D7E" w:rsidP="00B61D7E">
      <w:pPr>
        <w:rPr>
          <w:sz w:val="24"/>
          <w:szCs w:val="24"/>
        </w:rPr>
      </w:pPr>
    </w:p>
    <w:p w:rsidR="00B61D7E" w:rsidRPr="003715C1" w:rsidRDefault="00B61D7E" w:rsidP="001865FF">
      <w:pPr>
        <w:jc w:val="both"/>
        <w:rPr>
          <w:sz w:val="24"/>
          <w:szCs w:val="24"/>
        </w:rPr>
      </w:pPr>
      <w:r w:rsidRPr="003715C1">
        <w:rPr>
          <w:sz w:val="24"/>
          <w:szCs w:val="24"/>
        </w:rPr>
        <w:t>This section includes data on headcount and full-time equivalent (FTE) student enrollments in Illinois public community colleges.</w:t>
      </w:r>
    </w:p>
    <w:p w:rsidR="00B61D7E" w:rsidRPr="003715C1" w:rsidRDefault="00B61D7E" w:rsidP="001865FF">
      <w:pPr>
        <w:jc w:val="both"/>
        <w:rPr>
          <w:sz w:val="24"/>
          <w:szCs w:val="24"/>
        </w:rPr>
      </w:pPr>
    </w:p>
    <w:p w:rsidR="00B61D7E" w:rsidRPr="003715C1" w:rsidRDefault="00B61D7E" w:rsidP="001865FF">
      <w:pPr>
        <w:jc w:val="both"/>
        <w:rPr>
          <w:sz w:val="24"/>
          <w:szCs w:val="24"/>
        </w:rPr>
      </w:pPr>
      <w:r w:rsidRPr="003715C1">
        <w:rPr>
          <w:sz w:val="24"/>
          <w:szCs w:val="24"/>
        </w:rPr>
        <w:t>In fall 20</w:t>
      </w:r>
      <w:r w:rsidR="00FA6C8E" w:rsidRPr="003715C1">
        <w:rPr>
          <w:sz w:val="24"/>
          <w:szCs w:val="24"/>
        </w:rPr>
        <w:t>10</w:t>
      </w:r>
      <w:r w:rsidRPr="003715C1">
        <w:rPr>
          <w:sz w:val="24"/>
          <w:szCs w:val="24"/>
        </w:rPr>
        <w:t>, the public community colleges of Illinois enroll approximately 65 percent of all students enrolled in public colleges and universities in the state of Illinois.  The diverse population of the communities that the colleges serve is reflected in the student characteristics shown in this section.</w:t>
      </w:r>
    </w:p>
    <w:p w:rsidR="00B61D7E" w:rsidRPr="003715C1" w:rsidRDefault="00B61D7E" w:rsidP="001865FF">
      <w:pPr>
        <w:jc w:val="both"/>
        <w:rPr>
          <w:sz w:val="24"/>
          <w:szCs w:val="24"/>
        </w:rPr>
      </w:pPr>
    </w:p>
    <w:p w:rsidR="00B61D7E" w:rsidRPr="003715C1" w:rsidRDefault="00B61D7E" w:rsidP="001865FF">
      <w:pPr>
        <w:jc w:val="both"/>
        <w:rPr>
          <w:sz w:val="24"/>
          <w:szCs w:val="24"/>
        </w:rPr>
      </w:pPr>
      <w:r w:rsidRPr="003715C1">
        <w:rPr>
          <w:sz w:val="24"/>
          <w:szCs w:val="24"/>
        </w:rPr>
        <w:t>The tables show student enrollments based on opening counts (10th-day enrollments) for the fall term.  Opening enrollment counts are a snapshot count at the end of the regular registration for the fall term and do not include many students who enroll for courses which start later in a term - particularly in adult education.</w:t>
      </w:r>
    </w:p>
    <w:p w:rsidR="00B61D7E" w:rsidRPr="003715C1" w:rsidRDefault="00B61D7E" w:rsidP="001865FF">
      <w:pPr>
        <w:jc w:val="both"/>
        <w:rPr>
          <w:sz w:val="24"/>
          <w:szCs w:val="24"/>
        </w:rPr>
      </w:pPr>
    </w:p>
    <w:p w:rsidR="00B61D7E" w:rsidRPr="003715C1" w:rsidRDefault="00B61D7E" w:rsidP="001865FF">
      <w:pPr>
        <w:jc w:val="both"/>
        <w:rPr>
          <w:sz w:val="24"/>
          <w:szCs w:val="24"/>
        </w:rPr>
      </w:pPr>
      <w:r w:rsidRPr="003715C1">
        <w:rPr>
          <w:sz w:val="24"/>
          <w:szCs w:val="24"/>
        </w:rPr>
        <w:t>Table I-1 lists the fall 20</w:t>
      </w:r>
      <w:r w:rsidR="00FA6C8E" w:rsidRPr="003715C1">
        <w:rPr>
          <w:sz w:val="24"/>
          <w:szCs w:val="24"/>
        </w:rPr>
        <w:t>10</w:t>
      </w:r>
      <w:r w:rsidRPr="003715C1">
        <w:rPr>
          <w:sz w:val="24"/>
          <w:szCs w:val="24"/>
        </w:rPr>
        <w:t xml:space="preserve"> student headcount enrollment by sex and type of attendance.  Nearly 57 percent of the 3</w:t>
      </w:r>
      <w:r w:rsidR="00A4545D" w:rsidRPr="003715C1">
        <w:rPr>
          <w:sz w:val="24"/>
          <w:szCs w:val="24"/>
        </w:rPr>
        <w:t>79</w:t>
      </w:r>
      <w:r w:rsidRPr="003715C1">
        <w:rPr>
          <w:sz w:val="24"/>
          <w:szCs w:val="24"/>
        </w:rPr>
        <w:t>,</w:t>
      </w:r>
      <w:r w:rsidR="00A4545D" w:rsidRPr="003715C1">
        <w:rPr>
          <w:sz w:val="24"/>
          <w:szCs w:val="24"/>
        </w:rPr>
        <w:t>796</w:t>
      </w:r>
      <w:r w:rsidRPr="003715C1">
        <w:rPr>
          <w:sz w:val="24"/>
          <w:szCs w:val="24"/>
        </w:rPr>
        <w:t xml:space="preserve"> students enrolled in Illinois public community colleges were women.  Part-time students accounted for approximately 6</w:t>
      </w:r>
      <w:r w:rsidR="00A4545D" w:rsidRPr="003715C1">
        <w:rPr>
          <w:sz w:val="24"/>
          <w:szCs w:val="24"/>
        </w:rPr>
        <w:t>0</w:t>
      </w:r>
      <w:r w:rsidRPr="003715C1">
        <w:rPr>
          <w:sz w:val="24"/>
          <w:szCs w:val="24"/>
        </w:rPr>
        <w:t xml:space="preserve"> percent of the enrollments.</w:t>
      </w:r>
    </w:p>
    <w:p w:rsidR="00B61D7E" w:rsidRPr="003715C1" w:rsidRDefault="00B61D7E" w:rsidP="001865FF">
      <w:pPr>
        <w:jc w:val="both"/>
        <w:rPr>
          <w:sz w:val="24"/>
          <w:szCs w:val="24"/>
        </w:rPr>
      </w:pPr>
    </w:p>
    <w:p w:rsidR="00B61D7E" w:rsidRPr="003715C1" w:rsidRDefault="00B61D7E" w:rsidP="001865FF">
      <w:pPr>
        <w:jc w:val="both"/>
        <w:rPr>
          <w:rFonts w:ascii="Times New Roman" w:hAnsi="Times New Roman" w:cs="Times New Roman"/>
          <w:sz w:val="24"/>
          <w:szCs w:val="24"/>
        </w:rPr>
      </w:pPr>
      <w:r w:rsidRPr="003715C1">
        <w:rPr>
          <w:sz w:val="24"/>
          <w:szCs w:val="24"/>
        </w:rPr>
        <w:t>Table I-2 itemizes the fall 20</w:t>
      </w:r>
      <w:r w:rsidR="00FA6C8E" w:rsidRPr="003715C1">
        <w:rPr>
          <w:sz w:val="24"/>
          <w:szCs w:val="24"/>
        </w:rPr>
        <w:t>10</w:t>
      </w:r>
      <w:r w:rsidRPr="003715C1">
        <w:rPr>
          <w:sz w:val="24"/>
          <w:szCs w:val="24"/>
        </w:rPr>
        <w:t xml:space="preserve"> student headcount enrollment by instructional program area.  Forty-s</w:t>
      </w:r>
      <w:r w:rsidR="00A4545D" w:rsidRPr="003715C1">
        <w:rPr>
          <w:sz w:val="24"/>
          <w:szCs w:val="24"/>
        </w:rPr>
        <w:t>ix</w:t>
      </w:r>
      <w:r w:rsidRPr="003715C1">
        <w:rPr>
          <w:sz w:val="24"/>
          <w:szCs w:val="24"/>
        </w:rPr>
        <w:t xml:space="preserve"> percent of the students were enrolled in baccalaureate/transfer programs, 3</w:t>
      </w:r>
      <w:r w:rsidR="00A4545D" w:rsidRPr="003715C1">
        <w:rPr>
          <w:sz w:val="24"/>
          <w:szCs w:val="24"/>
        </w:rPr>
        <w:t>1.6</w:t>
      </w:r>
      <w:r w:rsidRPr="003715C1">
        <w:rPr>
          <w:sz w:val="24"/>
          <w:szCs w:val="24"/>
        </w:rPr>
        <w:t xml:space="preserve"> percent in career and technical education or vocational skills programs, </w:t>
      </w:r>
      <w:r w:rsidR="00A4545D" w:rsidRPr="003715C1">
        <w:rPr>
          <w:sz w:val="24"/>
          <w:szCs w:val="24"/>
        </w:rPr>
        <w:t>10.5</w:t>
      </w:r>
      <w:r w:rsidRPr="003715C1">
        <w:rPr>
          <w:sz w:val="24"/>
          <w:szCs w:val="24"/>
        </w:rPr>
        <w:t xml:space="preserve"> percent in adult basic education/adult secondary education/English as a Second Language programs, </w:t>
      </w:r>
      <w:r w:rsidR="00A4545D" w:rsidRPr="003715C1">
        <w:rPr>
          <w:sz w:val="24"/>
          <w:szCs w:val="24"/>
        </w:rPr>
        <w:t>11.3</w:t>
      </w:r>
      <w:r w:rsidRPr="003715C1">
        <w:rPr>
          <w:sz w:val="24"/>
          <w:szCs w:val="24"/>
        </w:rPr>
        <w:t> percent in general associate programs, and</w:t>
      </w:r>
      <w:r w:rsidRPr="003715C1">
        <w:rPr>
          <w:rFonts w:ascii="Times New Roman" w:hAnsi="Times New Roman" w:cs="Times New Roman"/>
          <w:sz w:val="24"/>
          <w:szCs w:val="24"/>
        </w:rPr>
        <w:t xml:space="preserve"> 0.</w:t>
      </w:r>
      <w:r w:rsidR="00A4545D" w:rsidRPr="003715C1">
        <w:rPr>
          <w:rFonts w:ascii="Times New Roman" w:hAnsi="Times New Roman" w:cs="Times New Roman"/>
          <w:sz w:val="24"/>
          <w:szCs w:val="24"/>
        </w:rPr>
        <w:t>5</w:t>
      </w:r>
      <w:r w:rsidRPr="003715C1">
        <w:rPr>
          <w:rFonts w:ascii="Times New Roman" w:hAnsi="Times New Roman" w:cs="Times New Roman"/>
          <w:sz w:val="24"/>
          <w:szCs w:val="24"/>
        </w:rPr>
        <w:t xml:space="preserve"> percent in general studies programs.</w:t>
      </w:r>
    </w:p>
    <w:p w:rsidR="00B61D7E" w:rsidRPr="003715C1" w:rsidRDefault="00B61D7E" w:rsidP="001865FF">
      <w:pPr>
        <w:jc w:val="both"/>
        <w:rPr>
          <w:rFonts w:ascii="Times New Roman" w:hAnsi="Times New Roman" w:cs="Times New Roman"/>
          <w:sz w:val="24"/>
          <w:szCs w:val="24"/>
        </w:rPr>
      </w:pPr>
    </w:p>
    <w:p w:rsidR="00B61D7E" w:rsidRPr="003715C1" w:rsidRDefault="00B61D7E" w:rsidP="001865FF">
      <w:pPr>
        <w:jc w:val="both"/>
        <w:rPr>
          <w:rFonts w:ascii="Times New Roman" w:hAnsi="Times New Roman" w:cs="Times New Roman"/>
          <w:sz w:val="24"/>
          <w:szCs w:val="24"/>
        </w:rPr>
      </w:pPr>
      <w:r w:rsidRPr="003715C1">
        <w:rPr>
          <w:rFonts w:ascii="Times New Roman" w:hAnsi="Times New Roman" w:cs="Times New Roman"/>
          <w:sz w:val="24"/>
          <w:szCs w:val="24"/>
        </w:rPr>
        <w:t>The data in Table I-3 show fall 20</w:t>
      </w:r>
      <w:r w:rsidR="00FA6C8E" w:rsidRPr="003715C1">
        <w:rPr>
          <w:rFonts w:ascii="Times New Roman" w:hAnsi="Times New Roman" w:cs="Times New Roman"/>
          <w:sz w:val="24"/>
          <w:szCs w:val="24"/>
        </w:rPr>
        <w:t>10</w:t>
      </w:r>
      <w:r w:rsidRPr="003715C1">
        <w:rPr>
          <w:rFonts w:ascii="Times New Roman" w:hAnsi="Times New Roman" w:cs="Times New Roman"/>
          <w:sz w:val="24"/>
          <w:szCs w:val="24"/>
        </w:rPr>
        <w:t xml:space="preserve"> headcount enrollment by age categories and provide the median age of students for each public community college.  The median age for fall 20</w:t>
      </w:r>
      <w:r w:rsidR="00FA6C8E" w:rsidRPr="003715C1">
        <w:rPr>
          <w:rFonts w:ascii="Times New Roman" w:hAnsi="Times New Roman" w:cs="Times New Roman"/>
          <w:sz w:val="24"/>
          <w:szCs w:val="24"/>
        </w:rPr>
        <w:t>10</w:t>
      </w:r>
      <w:r w:rsidRPr="003715C1">
        <w:rPr>
          <w:rFonts w:ascii="Times New Roman" w:hAnsi="Times New Roman" w:cs="Times New Roman"/>
          <w:sz w:val="24"/>
          <w:szCs w:val="24"/>
        </w:rPr>
        <w:t xml:space="preserve"> students was 23.</w:t>
      </w:r>
      <w:r w:rsidR="00956E86" w:rsidRPr="003715C1">
        <w:rPr>
          <w:rFonts w:ascii="Times New Roman" w:hAnsi="Times New Roman" w:cs="Times New Roman"/>
          <w:sz w:val="24"/>
          <w:szCs w:val="24"/>
        </w:rPr>
        <w:t>2</w:t>
      </w:r>
      <w:r w:rsidRPr="003715C1">
        <w:rPr>
          <w:rFonts w:ascii="Times New Roman" w:hAnsi="Times New Roman" w:cs="Times New Roman"/>
          <w:sz w:val="24"/>
          <w:szCs w:val="24"/>
        </w:rPr>
        <w:t>5 years</w:t>
      </w:r>
      <w:r w:rsidR="00FA6C8E" w:rsidRPr="003715C1">
        <w:rPr>
          <w:rFonts w:ascii="Times New Roman" w:hAnsi="Times New Roman" w:cs="Times New Roman"/>
          <w:sz w:val="24"/>
          <w:szCs w:val="24"/>
        </w:rPr>
        <w:t>, W</w:t>
      </w:r>
      <w:r w:rsidRPr="003715C1">
        <w:rPr>
          <w:rFonts w:ascii="Times New Roman" w:hAnsi="Times New Roman" w:cs="Times New Roman"/>
          <w:sz w:val="24"/>
          <w:szCs w:val="24"/>
        </w:rPr>
        <w:t>hich is similar to fall 20</w:t>
      </w:r>
      <w:r w:rsidR="00FA6C8E" w:rsidRPr="003715C1">
        <w:rPr>
          <w:rFonts w:ascii="Times New Roman" w:hAnsi="Times New Roman" w:cs="Times New Roman"/>
          <w:sz w:val="24"/>
          <w:szCs w:val="24"/>
        </w:rPr>
        <w:t>09</w:t>
      </w:r>
      <w:r w:rsidRPr="003715C1">
        <w:rPr>
          <w:rFonts w:ascii="Times New Roman" w:hAnsi="Times New Roman" w:cs="Times New Roman"/>
          <w:sz w:val="24"/>
          <w:szCs w:val="24"/>
        </w:rPr>
        <w:t xml:space="preserve"> (median age of 23.</w:t>
      </w:r>
      <w:r w:rsidR="00956E86" w:rsidRPr="003715C1">
        <w:rPr>
          <w:rFonts w:ascii="Times New Roman" w:hAnsi="Times New Roman" w:cs="Times New Roman"/>
          <w:sz w:val="24"/>
          <w:szCs w:val="24"/>
        </w:rPr>
        <w:t>35</w:t>
      </w:r>
      <w:r w:rsidRPr="003715C1">
        <w:rPr>
          <w:rFonts w:ascii="Times New Roman" w:hAnsi="Times New Roman" w:cs="Times New Roman"/>
          <w:sz w:val="24"/>
          <w:szCs w:val="24"/>
        </w:rPr>
        <w:t>).  The fall 20</w:t>
      </w:r>
      <w:r w:rsidR="00FA6C8E" w:rsidRPr="003715C1">
        <w:rPr>
          <w:rFonts w:ascii="Times New Roman" w:hAnsi="Times New Roman" w:cs="Times New Roman"/>
          <w:sz w:val="24"/>
          <w:szCs w:val="24"/>
        </w:rPr>
        <w:t>10</w:t>
      </w:r>
      <w:r w:rsidRPr="003715C1">
        <w:rPr>
          <w:rFonts w:ascii="Times New Roman" w:hAnsi="Times New Roman" w:cs="Times New Roman"/>
          <w:sz w:val="24"/>
          <w:szCs w:val="24"/>
        </w:rPr>
        <w:t xml:space="preserve"> mean age was 28.</w:t>
      </w:r>
      <w:r w:rsidR="00956E86" w:rsidRPr="003715C1">
        <w:rPr>
          <w:rFonts w:ascii="Times New Roman" w:hAnsi="Times New Roman" w:cs="Times New Roman"/>
          <w:sz w:val="24"/>
          <w:szCs w:val="24"/>
        </w:rPr>
        <w:t>23</w:t>
      </w:r>
      <w:r w:rsidRPr="003715C1">
        <w:rPr>
          <w:rFonts w:ascii="Times New Roman" w:hAnsi="Times New Roman" w:cs="Times New Roman"/>
          <w:sz w:val="24"/>
          <w:szCs w:val="24"/>
        </w:rPr>
        <w:t xml:space="preserve"> years.</w:t>
      </w:r>
    </w:p>
    <w:p w:rsidR="00B61D7E" w:rsidRPr="003715C1" w:rsidRDefault="00B61D7E" w:rsidP="001865FF">
      <w:pPr>
        <w:jc w:val="both"/>
        <w:rPr>
          <w:rFonts w:ascii="Times New Roman" w:hAnsi="Times New Roman" w:cs="Times New Roman"/>
          <w:sz w:val="24"/>
          <w:szCs w:val="24"/>
        </w:rPr>
      </w:pPr>
    </w:p>
    <w:p w:rsidR="00B61D7E" w:rsidRPr="003715C1" w:rsidRDefault="00B61D7E" w:rsidP="001865FF">
      <w:pPr>
        <w:jc w:val="both"/>
        <w:rPr>
          <w:rFonts w:ascii="Times New Roman" w:hAnsi="Times New Roman" w:cs="Times New Roman"/>
          <w:sz w:val="24"/>
          <w:szCs w:val="24"/>
        </w:rPr>
      </w:pPr>
      <w:r w:rsidRPr="003715C1">
        <w:rPr>
          <w:rFonts w:ascii="Times New Roman" w:hAnsi="Times New Roman" w:cs="Times New Roman"/>
          <w:sz w:val="24"/>
          <w:szCs w:val="24"/>
        </w:rPr>
        <w:t>Tables I-4 through I-7 summarize fall 20</w:t>
      </w:r>
      <w:r w:rsidR="00FA6C8E" w:rsidRPr="003715C1">
        <w:rPr>
          <w:rFonts w:ascii="Times New Roman" w:hAnsi="Times New Roman" w:cs="Times New Roman"/>
          <w:sz w:val="24"/>
          <w:szCs w:val="24"/>
        </w:rPr>
        <w:t>10</w:t>
      </w:r>
      <w:r w:rsidRPr="003715C1">
        <w:rPr>
          <w:rFonts w:ascii="Times New Roman" w:hAnsi="Times New Roman" w:cs="Times New Roman"/>
          <w:sz w:val="24"/>
          <w:szCs w:val="24"/>
        </w:rPr>
        <w:t xml:space="preserve"> student headcount enrollment by ethnic origin, academic classification, type of residency, and enrollment status.  Table I-5 shows that approximately 2</w:t>
      </w:r>
      <w:r w:rsidR="00956E86" w:rsidRPr="003715C1">
        <w:rPr>
          <w:rFonts w:ascii="Times New Roman" w:hAnsi="Times New Roman" w:cs="Times New Roman"/>
          <w:sz w:val="24"/>
          <w:szCs w:val="24"/>
        </w:rPr>
        <w:t>3.7</w:t>
      </w:r>
      <w:r w:rsidRPr="003715C1">
        <w:rPr>
          <w:rFonts w:ascii="Times New Roman" w:hAnsi="Times New Roman" w:cs="Times New Roman"/>
          <w:sz w:val="24"/>
          <w:szCs w:val="24"/>
        </w:rPr>
        <w:t> percent of fall 20</w:t>
      </w:r>
      <w:r w:rsidR="00FA6C8E" w:rsidRPr="003715C1">
        <w:rPr>
          <w:rFonts w:ascii="Times New Roman" w:hAnsi="Times New Roman" w:cs="Times New Roman"/>
          <w:sz w:val="24"/>
          <w:szCs w:val="24"/>
        </w:rPr>
        <w:t>10</w:t>
      </w:r>
      <w:r w:rsidRPr="003715C1">
        <w:rPr>
          <w:rFonts w:ascii="Times New Roman" w:hAnsi="Times New Roman" w:cs="Times New Roman"/>
          <w:sz w:val="24"/>
          <w:szCs w:val="24"/>
        </w:rPr>
        <w:t xml:space="preserve"> students were classified as sophomores.  F</w:t>
      </w:r>
      <w:r w:rsidR="00956E86" w:rsidRPr="003715C1">
        <w:rPr>
          <w:rFonts w:ascii="Times New Roman" w:hAnsi="Times New Roman" w:cs="Times New Roman"/>
          <w:sz w:val="24"/>
          <w:szCs w:val="24"/>
        </w:rPr>
        <w:t>if</w:t>
      </w:r>
      <w:r w:rsidRPr="003715C1">
        <w:rPr>
          <w:rFonts w:ascii="Times New Roman" w:hAnsi="Times New Roman" w:cs="Times New Roman"/>
          <w:sz w:val="24"/>
          <w:szCs w:val="24"/>
        </w:rPr>
        <w:t>ty percent of the fall 20</w:t>
      </w:r>
      <w:r w:rsidR="00FA6C8E" w:rsidRPr="003715C1">
        <w:rPr>
          <w:rFonts w:ascii="Times New Roman" w:hAnsi="Times New Roman" w:cs="Times New Roman"/>
          <w:sz w:val="24"/>
          <w:szCs w:val="24"/>
        </w:rPr>
        <w:t>10</w:t>
      </w:r>
      <w:r w:rsidRPr="003715C1">
        <w:rPr>
          <w:rFonts w:ascii="Times New Roman" w:hAnsi="Times New Roman" w:cs="Times New Roman"/>
          <w:sz w:val="24"/>
          <w:szCs w:val="24"/>
        </w:rPr>
        <w:t xml:space="preserve"> enrollments were classified as freshmen.</w:t>
      </w:r>
    </w:p>
    <w:p w:rsidR="00B61D7E" w:rsidRPr="003715C1" w:rsidRDefault="00B61D7E" w:rsidP="001865FF">
      <w:pPr>
        <w:jc w:val="both"/>
        <w:rPr>
          <w:rFonts w:ascii="Times New Roman" w:hAnsi="Times New Roman" w:cs="Times New Roman"/>
          <w:sz w:val="24"/>
          <w:szCs w:val="24"/>
        </w:rPr>
      </w:pPr>
    </w:p>
    <w:p w:rsidR="00B61D7E" w:rsidRPr="003715C1" w:rsidRDefault="00B61D7E" w:rsidP="001865FF">
      <w:pPr>
        <w:jc w:val="both"/>
        <w:rPr>
          <w:rFonts w:ascii="Times New Roman" w:hAnsi="Times New Roman" w:cs="Times New Roman"/>
          <w:sz w:val="24"/>
          <w:szCs w:val="24"/>
        </w:rPr>
      </w:pPr>
      <w:r w:rsidRPr="003715C1">
        <w:rPr>
          <w:rFonts w:ascii="Times New Roman" w:hAnsi="Times New Roman" w:cs="Times New Roman"/>
          <w:sz w:val="24"/>
          <w:szCs w:val="24"/>
        </w:rPr>
        <w:t>Table I-8 lists by headcount and FTE the proportions of district populations served by Illinois public community colleges in instructional credit curricula.  Table I-9 summarizes fall 20</w:t>
      </w:r>
      <w:r w:rsidR="00FA6C8E" w:rsidRPr="003715C1">
        <w:rPr>
          <w:rFonts w:ascii="Times New Roman" w:hAnsi="Times New Roman" w:cs="Times New Roman"/>
          <w:sz w:val="24"/>
          <w:szCs w:val="24"/>
        </w:rPr>
        <w:t xml:space="preserve">10 </w:t>
      </w:r>
      <w:r w:rsidRPr="003715C1">
        <w:rPr>
          <w:rFonts w:ascii="Times New Roman" w:hAnsi="Times New Roman" w:cs="Times New Roman"/>
          <w:sz w:val="24"/>
          <w:szCs w:val="24"/>
        </w:rPr>
        <w:t>headcount enrollment by instructional program area and student level.</w:t>
      </w:r>
    </w:p>
    <w:p w:rsidR="00B61D7E" w:rsidRPr="003715C1" w:rsidRDefault="00B61D7E" w:rsidP="001865FF">
      <w:pPr>
        <w:jc w:val="both"/>
        <w:rPr>
          <w:rFonts w:ascii="Times New Roman" w:hAnsi="Times New Roman" w:cs="Times New Roman"/>
          <w:sz w:val="24"/>
          <w:szCs w:val="24"/>
        </w:rPr>
      </w:pPr>
    </w:p>
    <w:p w:rsidR="00B61D7E" w:rsidRPr="003715C1" w:rsidRDefault="00B61D7E" w:rsidP="001865FF">
      <w:pPr>
        <w:jc w:val="both"/>
        <w:rPr>
          <w:rFonts w:ascii="Times New Roman" w:hAnsi="Times New Roman" w:cs="Times New Roman"/>
          <w:sz w:val="24"/>
          <w:szCs w:val="24"/>
        </w:rPr>
      </w:pPr>
      <w:r w:rsidRPr="003715C1">
        <w:rPr>
          <w:rFonts w:ascii="Times New Roman" w:hAnsi="Times New Roman" w:cs="Times New Roman"/>
          <w:sz w:val="24"/>
          <w:szCs w:val="24"/>
        </w:rPr>
        <w:t xml:space="preserve">Table I-10 details the trends in community college headcount enrollments from fall </w:t>
      </w:r>
      <w:r w:rsidR="007D4EB4" w:rsidRPr="003715C1">
        <w:rPr>
          <w:rFonts w:ascii="Times New Roman" w:hAnsi="Times New Roman" w:cs="Times New Roman"/>
          <w:sz w:val="24"/>
          <w:szCs w:val="24"/>
        </w:rPr>
        <w:t>200</w:t>
      </w:r>
      <w:r w:rsidR="00FA6C8E" w:rsidRPr="003715C1">
        <w:rPr>
          <w:rFonts w:ascii="Times New Roman" w:hAnsi="Times New Roman" w:cs="Times New Roman"/>
          <w:sz w:val="24"/>
          <w:szCs w:val="24"/>
        </w:rPr>
        <w:t>1</w:t>
      </w:r>
      <w:r w:rsidRPr="003715C1">
        <w:rPr>
          <w:rFonts w:ascii="Times New Roman" w:hAnsi="Times New Roman" w:cs="Times New Roman"/>
          <w:sz w:val="24"/>
          <w:szCs w:val="24"/>
        </w:rPr>
        <w:t xml:space="preserve"> through fall 20</w:t>
      </w:r>
      <w:r w:rsidR="00FA6C8E" w:rsidRPr="003715C1">
        <w:rPr>
          <w:rFonts w:ascii="Times New Roman" w:hAnsi="Times New Roman" w:cs="Times New Roman"/>
          <w:sz w:val="24"/>
          <w:szCs w:val="24"/>
        </w:rPr>
        <w:t>10</w:t>
      </w:r>
      <w:r w:rsidRPr="003715C1">
        <w:rPr>
          <w:rFonts w:ascii="Times New Roman" w:hAnsi="Times New Roman" w:cs="Times New Roman"/>
          <w:sz w:val="24"/>
          <w:szCs w:val="24"/>
        </w:rPr>
        <w:t>.  Table I-11 provides the trends of FTE enrollments for the same ten-year period.</w:t>
      </w:r>
    </w:p>
    <w:p w:rsidR="00DF3518" w:rsidRPr="003715C1" w:rsidRDefault="00DF3518" w:rsidP="001865FF">
      <w:pPr>
        <w:jc w:val="both"/>
      </w:pPr>
    </w:p>
    <w:sectPr w:rsidR="00DF3518" w:rsidRPr="003715C1" w:rsidSect="00B61D7E">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1D7E"/>
    <w:rsid w:val="0001107F"/>
    <w:rsid w:val="001865FF"/>
    <w:rsid w:val="002A3749"/>
    <w:rsid w:val="003715C1"/>
    <w:rsid w:val="005F1876"/>
    <w:rsid w:val="006D31E1"/>
    <w:rsid w:val="007D4EB4"/>
    <w:rsid w:val="00872215"/>
    <w:rsid w:val="00956E86"/>
    <w:rsid w:val="00A4545D"/>
    <w:rsid w:val="00B61D7E"/>
    <w:rsid w:val="00D17C71"/>
    <w:rsid w:val="00DF3518"/>
    <w:rsid w:val="00FA6C8E"/>
    <w:rsid w:val="00FB2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7E"/>
    <w:pPr>
      <w:autoSpaceDE w:val="0"/>
      <w:autoSpaceDN w:val="0"/>
      <w:adjustRightInd w:val="0"/>
      <w:spacing w:after="0" w:line="240" w:lineRule="auto"/>
    </w:pPr>
    <w:rPr>
      <w:rFonts w:ascii="CG Times" w:hAnsi="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dc:creator>
  <cp:keywords/>
  <dc:description/>
  <cp:lastModifiedBy>mdufour</cp:lastModifiedBy>
  <cp:revision>12</cp:revision>
  <dcterms:created xsi:type="dcterms:W3CDTF">2010-07-08T22:21:00Z</dcterms:created>
  <dcterms:modified xsi:type="dcterms:W3CDTF">2011-02-28T22:24:00Z</dcterms:modified>
</cp:coreProperties>
</file>