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5C7" w:rsidRDefault="00E27115" w:rsidP="001945C7">
      <w:pPr>
        <w:tabs>
          <w:tab w:val="right" w:pos="9360"/>
        </w:tabs>
        <w:jc w:val="both"/>
        <w:rPr>
          <w:rFonts w:ascii="Times New Roman" w:hAnsi="Times New Roman"/>
        </w:rPr>
      </w:pPr>
      <w:r>
        <w:rPr>
          <w:rFonts w:ascii="Times New Roman" w:hAnsi="Times New Roman"/>
        </w:rPr>
        <w:t xml:space="preserve">Data and Characteristics of the Illinois Community College System </w:t>
      </w:r>
      <w:r>
        <w:rPr>
          <w:rFonts w:ascii="Times New Roman" w:hAnsi="Times New Roman"/>
        </w:rPr>
        <w:sym w:font="WP TypographicSymbols" w:char="0043"/>
      </w:r>
      <w:r>
        <w:rPr>
          <w:rFonts w:ascii="Times New Roman" w:hAnsi="Times New Roman"/>
          <w:i/>
          <w:iCs/>
          <w:sz w:val="22"/>
          <w:szCs w:val="22"/>
        </w:rPr>
        <w:t xml:space="preserve"> 2009</w:t>
      </w:r>
      <w:r w:rsidR="001945C7">
        <w:rPr>
          <w:rFonts w:ascii="Times New Roman" w:hAnsi="Times New Roman"/>
        </w:rPr>
        <w:tab/>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center" w:pos="4680"/>
        </w:tabs>
        <w:jc w:val="both"/>
        <w:rPr>
          <w:rFonts w:ascii="Times New Roman" w:hAnsi="Times New Roman"/>
        </w:rPr>
      </w:pPr>
      <w:r>
        <w:rPr>
          <w:rFonts w:ascii="Times New Roman" w:hAnsi="Times New Roman"/>
        </w:rPr>
        <w:tab/>
        <w:t>Section II</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center" w:pos="4680"/>
        </w:tabs>
        <w:jc w:val="both"/>
        <w:rPr>
          <w:rFonts w:ascii="Times New Roman" w:hAnsi="Times New Roman"/>
        </w:rPr>
      </w:pPr>
      <w:r>
        <w:rPr>
          <w:rFonts w:ascii="Times New Roman" w:hAnsi="Times New Roman"/>
        </w:rPr>
        <w:tab/>
        <w:t>FACULTY AND STAFF DATA</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proofErr w:type="gramStart"/>
      <w:r>
        <w:rPr>
          <w:rFonts w:ascii="Times New Roman" w:hAnsi="Times New Roman"/>
        </w:rPr>
        <w:t>The tables in this section present data regarding faculty and staff employed by the public community colleges of Illinois.</w:t>
      </w:r>
      <w:proofErr w:type="gramEnd"/>
      <w:r>
        <w:rPr>
          <w:rFonts w:ascii="Times New Roman" w:hAnsi="Times New Roman"/>
        </w:rPr>
        <w:t xml:space="preserve">  The salary and staff data were collected in fall 2008 and reflect averages for fiscal year 2009.  Employee groups exclude those persons who are employed predominantly to provide services at a correctional facility.</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r>
        <w:rPr>
          <w:rFonts w:ascii="Times New Roman" w:hAnsi="Times New Roman"/>
        </w:rPr>
        <w:t xml:space="preserve">Descriptions of the employee groups used in this section are provided below.  These categories correspond with </w:t>
      </w:r>
      <w:r>
        <w:rPr>
          <w:rFonts w:ascii="Times New Roman" w:hAnsi="Times New Roman"/>
          <w:i/>
          <w:iCs/>
        </w:rPr>
        <w:t>Fiscal Management Manual</w:t>
      </w:r>
      <w:r>
        <w:rPr>
          <w:rFonts w:ascii="Times New Roman" w:hAnsi="Times New Roman"/>
        </w:rPr>
        <w:t xml:space="preserve"> salaries expenditures codes.</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ind w:left="571" w:hanging="571"/>
        <w:jc w:val="both"/>
        <w:rPr>
          <w:rFonts w:ascii="Times New Roman" w:hAnsi="Times New Roman"/>
        </w:rPr>
      </w:pPr>
      <w:r>
        <w:rPr>
          <w:rFonts w:ascii="Times New Roman" w:hAnsi="Times New Roman"/>
        </w:rPr>
        <w:sym w:font="WP TypographicSymbols" w:char="0024"/>
      </w:r>
      <w:r>
        <w:rPr>
          <w:rFonts w:ascii="Times New Roman" w:hAnsi="Times New Roman"/>
        </w:rPr>
        <w:tab/>
      </w:r>
      <w:proofErr w:type="gramStart"/>
      <w:r>
        <w:rPr>
          <w:rFonts w:ascii="Times New Roman" w:hAnsi="Times New Roman"/>
          <w:u w:val="single"/>
        </w:rPr>
        <w:t>Faculty</w:t>
      </w:r>
      <w:r>
        <w:rPr>
          <w:rFonts w:ascii="Times New Roman" w:hAnsi="Times New Roman"/>
        </w:rPr>
        <w:t xml:space="preserve"> are</w:t>
      </w:r>
      <w:proofErr w:type="gramEnd"/>
      <w:r>
        <w:rPr>
          <w:rFonts w:ascii="Times New Roman" w:hAnsi="Times New Roman"/>
        </w:rPr>
        <w:t xml:space="preserve"> individuals who spend more than one-half of their workload in the activity of teaching and providing instruction to students.</w:t>
      </w:r>
    </w:p>
    <w:p w:rsidR="001945C7" w:rsidRDefault="001945C7" w:rsidP="001945C7">
      <w:pPr>
        <w:tabs>
          <w:tab w:val="left" w:pos="571"/>
          <w:tab w:val="left" w:pos="1142"/>
        </w:tabs>
        <w:ind w:left="571" w:hanging="571"/>
        <w:jc w:val="both"/>
        <w:rPr>
          <w:rFonts w:ascii="Times New Roman" w:hAnsi="Times New Roman"/>
        </w:rPr>
      </w:pPr>
      <w:r>
        <w:rPr>
          <w:rFonts w:ascii="Times New Roman" w:hAnsi="Times New Roman"/>
        </w:rPr>
        <w:sym w:font="WP TypographicSymbols" w:char="0024"/>
      </w:r>
      <w:r>
        <w:rPr>
          <w:rFonts w:ascii="Times New Roman" w:hAnsi="Times New Roman"/>
        </w:rPr>
        <w:tab/>
      </w:r>
      <w:r>
        <w:rPr>
          <w:rFonts w:ascii="Times New Roman" w:hAnsi="Times New Roman"/>
          <w:u w:val="single"/>
        </w:rPr>
        <w:t>Administrative Staff</w:t>
      </w:r>
      <w:r>
        <w:rPr>
          <w:rFonts w:ascii="Times New Roman" w:hAnsi="Times New Roman"/>
        </w:rPr>
        <w:t xml:space="preserve"> are line officers of the college who manage, conduct, and administer programs, staff, and operations of the board of trustees.</w:t>
      </w:r>
    </w:p>
    <w:p w:rsidR="001945C7" w:rsidRDefault="001945C7" w:rsidP="001945C7">
      <w:pPr>
        <w:tabs>
          <w:tab w:val="left" w:pos="571"/>
          <w:tab w:val="left" w:pos="1142"/>
        </w:tabs>
        <w:ind w:left="571" w:hanging="571"/>
        <w:jc w:val="both"/>
        <w:rPr>
          <w:rFonts w:ascii="Times New Roman" w:hAnsi="Times New Roman"/>
        </w:rPr>
      </w:pPr>
      <w:r>
        <w:rPr>
          <w:rFonts w:ascii="Times New Roman" w:hAnsi="Times New Roman"/>
        </w:rPr>
        <w:sym w:font="WP TypographicSymbols" w:char="0024"/>
      </w:r>
      <w:r>
        <w:rPr>
          <w:rFonts w:ascii="Times New Roman" w:hAnsi="Times New Roman"/>
        </w:rPr>
        <w:tab/>
      </w:r>
      <w:r>
        <w:rPr>
          <w:rFonts w:ascii="Times New Roman" w:hAnsi="Times New Roman"/>
          <w:u w:val="single"/>
        </w:rPr>
        <w:t>Classified Staff</w:t>
      </w:r>
      <w:r>
        <w:rPr>
          <w:rFonts w:ascii="Times New Roman" w:hAnsi="Times New Roman"/>
        </w:rPr>
        <w:t xml:space="preserve"> include clerical and custodial/maintenance staff.  Clerical personnel engage in the process of keeping records and processing information upon the request and direction of college professional staff.  Custodial/maintenance </w:t>
      </w:r>
      <w:proofErr w:type="gramStart"/>
      <w:r>
        <w:rPr>
          <w:rFonts w:ascii="Times New Roman" w:hAnsi="Times New Roman"/>
        </w:rPr>
        <w:t>staff engage</w:t>
      </w:r>
      <w:proofErr w:type="gramEnd"/>
      <w:r>
        <w:rPr>
          <w:rFonts w:ascii="Times New Roman" w:hAnsi="Times New Roman"/>
        </w:rPr>
        <w:t xml:space="preserve"> in housekeeping and the maintenance or repair of college facilities and equipment.</w:t>
      </w:r>
    </w:p>
    <w:p w:rsidR="001945C7" w:rsidRDefault="001945C7" w:rsidP="001945C7">
      <w:pPr>
        <w:tabs>
          <w:tab w:val="left" w:pos="571"/>
          <w:tab w:val="left" w:pos="1142"/>
        </w:tabs>
        <w:ind w:left="571" w:hanging="571"/>
        <w:jc w:val="both"/>
        <w:rPr>
          <w:rFonts w:ascii="Times New Roman" w:hAnsi="Times New Roman"/>
        </w:rPr>
      </w:pPr>
      <w:r>
        <w:rPr>
          <w:rFonts w:ascii="Times New Roman" w:hAnsi="Times New Roman"/>
        </w:rPr>
        <w:sym w:font="WP TypographicSymbols" w:char="0024"/>
      </w:r>
      <w:r>
        <w:rPr>
          <w:rFonts w:ascii="Times New Roman" w:hAnsi="Times New Roman"/>
        </w:rPr>
        <w:tab/>
      </w:r>
      <w:r>
        <w:rPr>
          <w:rFonts w:ascii="Times New Roman" w:hAnsi="Times New Roman"/>
          <w:u w:val="single"/>
        </w:rPr>
        <w:t>Other (nonteaching) Professional Staff</w:t>
      </w:r>
      <w:r>
        <w:rPr>
          <w:rFonts w:ascii="Times New Roman" w:hAnsi="Times New Roman"/>
        </w:rPr>
        <w:t xml:space="preserve"> include professional/technical, academic support, and supervisory staff.  Professional/technical staff have specialized skills but do not directly support the process of teaching.  Academic support </w:t>
      </w:r>
      <w:proofErr w:type="gramStart"/>
      <w:r>
        <w:rPr>
          <w:rFonts w:ascii="Times New Roman" w:hAnsi="Times New Roman"/>
        </w:rPr>
        <w:t xml:space="preserve">staff exercise professional </w:t>
      </w:r>
      <w:proofErr w:type="spellStart"/>
      <w:r>
        <w:rPr>
          <w:rFonts w:ascii="Times New Roman" w:hAnsi="Times New Roman"/>
        </w:rPr>
        <w:t>judgement</w:t>
      </w:r>
      <w:proofErr w:type="spellEnd"/>
      <w:r>
        <w:rPr>
          <w:rFonts w:ascii="Times New Roman" w:hAnsi="Times New Roman"/>
        </w:rPr>
        <w:t xml:space="preserve"> and discretion and directly support</w:t>
      </w:r>
      <w:proofErr w:type="gramEnd"/>
      <w:r>
        <w:rPr>
          <w:rFonts w:ascii="Times New Roman" w:hAnsi="Times New Roman"/>
        </w:rPr>
        <w:t xml:space="preserve"> the teaching and learning process.  Supervisory staff have the duty, responsibility, or authority to recommend the employment, transfer, suspension, dismissal, promotion, assignment, reward, or discipline of other staff individuals both full- and part-time.</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r>
        <w:rPr>
          <w:rFonts w:ascii="Times New Roman" w:hAnsi="Times New Roman"/>
        </w:rPr>
        <w:t>Figure 2 shows the headcount distribution of community college employees statewide by employee group:  faculty (52.82 percent), other nonteaching professionals (16.53 percent), classified (26.63 percent), and administrators (4.01 percent).</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r>
        <w:rPr>
          <w:rFonts w:ascii="Times New Roman" w:hAnsi="Times New Roman"/>
        </w:rPr>
        <w:t>Table II</w:t>
      </w:r>
      <w:r>
        <w:rPr>
          <w:rFonts w:ascii="Times New Roman" w:hAnsi="Times New Roman"/>
        </w:rPr>
        <w:noBreakHyphen/>
        <w:t>1 lists the number of instructional teaching faculty by sex and employment status employed during fall 2008.  Of the 10,653 teaching faculty employed in fall 2008, 4,663 were full</w:t>
      </w:r>
      <w:r>
        <w:rPr>
          <w:rFonts w:ascii="Times New Roman" w:hAnsi="Times New Roman"/>
        </w:rPr>
        <w:noBreakHyphen/>
        <w:t>time faculty.</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r>
        <w:rPr>
          <w:rFonts w:ascii="Times New Roman" w:hAnsi="Times New Roman"/>
        </w:rPr>
        <w:t>Table II</w:t>
      </w:r>
      <w:r>
        <w:rPr>
          <w:rFonts w:ascii="Times New Roman" w:hAnsi="Times New Roman"/>
        </w:rPr>
        <w:noBreakHyphen/>
        <w:t>2 shows the total number of administrative staff by sex and employment status.</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r>
        <w:rPr>
          <w:rFonts w:ascii="Times New Roman" w:hAnsi="Times New Roman"/>
        </w:rPr>
        <w:t>Table II</w:t>
      </w:r>
      <w:r>
        <w:rPr>
          <w:rFonts w:ascii="Times New Roman" w:hAnsi="Times New Roman"/>
        </w:rPr>
        <w:noBreakHyphen/>
        <w:t>3 lists the number of full</w:t>
      </w:r>
      <w:r>
        <w:rPr>
          <w:rFonts w:ascii="Times New Roman" w:hAnsi="Times New Roman"/>
        </w:rPr>
        <w:noBreakHyphen/>
        <w:t xml:space="preserve">time and </w:t>
      </w:r>
      <w:proofErr w:type="spellStart"/>
      <w:r>
        <w:rPr>
          <w:rFonts w:ascii="Times New Roman" w:hAnsi="Times New Roman"/>
        </w:rPr>
        <w:t>part</w:t>
      </w:r>
      <w:r>
        <w:rPr>
          <w:rFonts w:ascii="Times New Roman" w:hAnsi="Times New Roman"/>
        </w:rPr>
        <w:noBreakHyphen/>
        <w:t>time</w:t>
      </w:r>
      <w:proofErr w:type="spellEnd"/>
      <w:r>
        <w:rPr>
          <w:rFonts w:ascii="Times New Roman" w:hAnsi="Times New Roman"/>
        </w:rPr>
        <w:t xml:space="preserve"> nonteaching professional staff by sex and employment status employed in each community college.  Table II</w:t>
      </w:r>
      <w:r>
        <w:rPr>
          <w:rFonts w:ascii="Times New Roman" w:hAnsi="Times New Roman"/>
        </w:rPr>
        <w:noBreakHyphen/>
        <w:t>4 provides the same information for classified or civil service type staff.</w:t>
      </w:r>
    </w:p>
    <w:p w:rsidR="001945C7" w:rsidRDefault="001945C7" w:rsidP="001945C7">
      <w:pPr>
        <w:tabs>
          <w:tab w:val="left" w:pos="571"/>
          <w:tab w:val="left" w:pos="1142"/>
        </w:tabs>
        <w:jc w:val="both"/>
        <w:rPr>
          <w:rFonts w:ascii="Times New Roman" w:hAnsi="Times New Roman"/>
        </w:rPr>
      </w:pPr>
    </w:p>
    <w:p w:rsidR="001945C7" w:rsidRDefault="001945C7" w:rsidP="001945C7">
      <w:pPr>
        <w:tabs>
          <w:tab w:val="left" w:pos="571"/>
          <w:tab w:val="left" w:pos="1142"/>
        </w:tabs>
        <w:jc w:val="both"/>
        <w:rPr>
          <w:rFonts w:ascii="Times New Roman" w:hAnsi="Times New Roman"/>
        </w:rPr>
      </w:pPr>
      <w:r>
        <w:rPr>
          <w:rFonts w:ascii="Times New Roman" w:hAnsi="Times New Roman"/>
        </w:rPr>
        <w:t>The average contractual base salaries paid to full</w:t>
      </w:r>
      <w:r>
        <w:rPr>
          <w:rFonts w:ascii="Times New Roman" w:hAnsi="Times New Roman"/>
        </w:rPr>
        <w:noBreakHyphen/>
        <w:t>time teaching faculty, full</w:t>
      </w:r>
      <w:r>
        <w:rPr>
          <w:rFonts w:ascii="Times New Roman" w:hAnsi="Times New Roman"/>
        </w:rPr>
        <w:noBreakHyphen/>
        <w:t>time administrative staff, and full</w:t>
      </w:r>
      <w:r>
        <w:rPr>
          <w:rFonts w:ascii="Times New Roman" w:hAnsi="Times New Roman"/>
        </w:rPr>
        <w:noBreakHyphen/>
        <w:t>time nonteaching professionals are shown in Table II</w:t>
      </w:r>
      <w:r>
        <w:rPr>
          <w:rFonts w:ascii="Times New Roman" w:hAnsi="Times New Roman"/>
        </w:rPr>
        <w:noBreakHyphen/>
        <w:t>5.</w:t>
      </w:r>
    </w:p>
    <w:p w:rsidR="001945C7" w:rsidRDefault="001945C7" w:rsidP="001945C7">
      <w:pPr>
        <w:tabs>
          <w:tab w:val="left" w:pos="571"/>
          <w:tab w:val="left" w:pos="1142"/>
        </w:tabs>
        <w:jc w:val="both"/>
        <w:rPr>
          <w:rFonts w:ascii="Times New Roman" w:hAnsi="Times New Roman"/>
        </w:rPr>
      </w:pPr>
    </w:p>
    <w:p w:rsidR="00DF3518" w:rsidRDefault="001945C7" w:rsidP="00933F1B">
      <w:pPr>
        <w:tabs>
          <w:tab w:val="left" w:pos="571"/>
          <w:tab w:val="left" w:pos="1142"/>
        </w:tabs>
        <w:jc w:val="both"/>
      </w:pPr>
      <w:r>
        <w:rPr>
          <w:rFonts w:ascii="Times New Roman" w:hAnsi="Times New Roman"/>
        </w:rPr>
        <w:t>Table II</w:t>
      </w:r>
      <w:r>
        <w:rPr>
          <w:rFonts w:ascii="Times New Roman" w:hAnsi="Times New Roman"/>
        </w:rPr>
        <w:noBreakHyphen/>
        <w:t xml:space="preserve">6 identifies the average class size for </w:t>
      </w:r>
      <w:proofErr w:type="spellStart"/>
      <w:r>
        <w:rPr>
          <w:rFonts w:ascii="Times New Roman" w:hAnsi="Times New Roman"/>
        </w:rPr>
        <w:t>on</w:t>
      </w:r>
      <w:r>
        <w:rPr>
          <w:rFonts w:ascii="Times New Roman" w:hAnsi="Times New Roman"/>
        </w:rPr>
        <w:noBreakHyphen/>
        <w:t>campus</w:t>
      </w:r>
      <w:proofErr w:type="spellEnd"/>
      <w:r>
        <w:rPr>
          <w:rFonts w:ascii="Times New Roman" w:hAnsi="Times New Roman"/>
        </w:rPr>
        <w:t xml:space="preserve"> lecture/discussion classes and laboratory classes during fiscal year 2008.  Table II</w:t>
      </w:r>
      <w:r>
        <w:rPr>
          <w:rFonts w:ascii="Times New Roman" w:hAnsi="Times New Roman"/>
        </w:rPr>
        <w:noBreakHyphen/>
        <w:t xml:space="preserve">7 shows a percent distribution of </w:t>
      </w:r>
      <w:proofErr w:type="spellStart"/>
      <w:r>
        <w:rPr>
          <w:rFonts w:ascii="Times New Roman" w:hAnsi="Times New Roman"/>
        </w:rPr>
        <w:t>on</w:t>
      </w:r>
      <w:r>
        <w:rPr>
          <w:rFonts w:ascii="Times New Roman" w:hAnsi="Times New Roman"/>
        </w:rPr>
        <w:noBreakHyphen/>
        <w:t>campus</w:t>
      </w:r>
      <w:proofErr w:type="spellEnd"/>
      <w:r>
        <w:rPr>
          <w:rFonts w:ascii="Times New Roman" w:hAnsi="Times New Roman"/>
        </w:rPr>
        <w:t xml:space="preserve"> classes by size for each community college during fiscal year 2008.  Table II-8 identifies the average class size for on-campus lecture/discussion classes and laboratory classes during fiscal year 2008.  Table 9 shows a percentage of on-campus classes by size for each community </w:t>
      </w:r>
      <w:r>
        <w:rPr>
          <w:rFonts w:ascii="Times New Roman" w:hAnsi="Times New Roman"/>
        </w:rPr>
        <w:lastRenderedPageBreak/>
        <w:t>college during fiscal year 2008.</w:t>
      </w:r>
    </w:p>
    <w:sectPr w:rsidR="00DF3518" w:rsidSect="00DF3518">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2EE" w:rsidRDefault="006442EE" w:rsidP="006442EE">
      <w:r>
        <w:separator/>
      </w:r>
    </w:p>
  </w:endnote>
  <w:endnote w:type="continuationSeparator" w:id="0">
    <w:p w:rsidR="006442EE" w:rsidRDefault="006442EE" w:rsidP="00644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E4F" w:rsidRDefault="00933F1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2EE" w:rsidRDefault="006442EE" w:rsidP="006442EE">
      <w:r>
        <w:separator/>
      </w:r>
    </w:p>
  </w:footnote>
  <w:footnote w:type="continuationSeparator" w:id="0">
    <w:p w:rsidR="006442EE" w:rsidRDefault="006442EE" w:rsidP="006442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945C7"/>
    <w:rsid w:val="001945C7"/>
    <w:rsid w:val="002A3749"/>
    <w:rsid w:val="006442EE"/>
    <w:rsid w:val="00704CE9"/>
    <w:rsid w:val="00933F1B"/>
    <w:rsid w:val="00DF3518"/>
    <w:rsid w:val="00E27115"/>
    <w:rsid w:val="00E71733"/>
    <w:rsid w:val="00E75C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C7"/>
    <w:pPr>
      <w:widowControl w:val="0"/>
      <w:autoSpaceDE w:val="0"/>
      <w:autoSpaceDN w:val="0"/>
      <w:adjustRightInd w:val="0"/>
      <w:spacing w:after="0" w:line="240" w:lineRule="auto"/>
    </w:pPr>
    <w:rPr>
      <w:rFonts w:ascii="Shruti" w:eastAsiaTheme="minorEastAsia"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sparke</dc:creator>
  <cp:keywords/>
  <dc:description/>
  <cp:lastModifiedBy>sparke</cp:lastModifiedBy>
  <cp:revision>4</cp:revision>
  <dcterms:created xsi:type="dcterms:W3CDTF">2010-07-15T16:45:00Z</dcterms:created>
  <dcterms:modified xsi:type="dcterms:W3CDTF">2010-07-15T16:47:00Z</dcterms:modified>
</cp:coreProperties>
</file>