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67" w:rsidRPr="003C27DA" w:rsidRDefault="003C27DA" w:rsidP="003C27DA">
      <w:pPr>
        <w:pStyle w:val="NoSpacing"/>
        <w:jc w:val="center"/>
        <w:rPr>
          <w:rFonts w:ascii="Times New Roman" w:hAnsi="Times New Roman" w:cs="Times New Roman"/>
          <w:b/>
          <w:sz w:val="24"/>
          <w:szCs w:val="24"/>
        </w:rPr>
      </w:pPr>
      <w:r w:rsidRPr="003C27DA">
        <w:rPr>
          <w:rFonts w:ascii="Times New Roman" w:hAnsi="Times New Roman" w:cs="Times New Roman"/>
          <w:b/>
          <w:sz w:val="24"/>
          <w:szCs w:val="24"/>
        </w:rPr>
        <w:t>Illinois Postsecondary Program of Study Approval Form</w:t>
      </w:r>
    </w:p>
    <w:p w:rsidR="003C27DA" w:rsidRDefault="003C27DA" w:rsidP="008F142D">
      <w:pPr>
        <w:pStyle w:val="NoSpacing"/>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7D1C323E" wp14:editId="413433F8">
                <wp:simplePos x="0" y="0"/>
                <wp:positionH relativeFrom="column">
                  <wp:posOffset>-60960</wp:posOffset>
                </wp:positionH>
                <wp:positionV relativeFrom="paragraph">
                  <wp:posOffset>177165</wp:posOffset>
                </wp:positionV>
                <wp:extent cx="6987540" cy="35890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6987540" cy="35890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A4147" id="Rectangle 1" o:spid="_x0000_s1026" style="position:absolute;margin-left:-4.8pt;margin-top:13.95pt;width:550.2pt;height:28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" fillcolor="#deeaf6 [660]" strokecolor="#1f4d78 [1604]" strokeweight="1pt"/>
            </w:pict>
          </mc:Fallback>
        </mc:AlternateContent>
      </w:r>
    </w:p>
    <w:p w:rsidR="008075D5" w:rsidRPr="00BC3969" w:rsidRDefault="008075D5" w:rsidP="008F142D">
      <w:pPr>
        <w:pStyle w:val="NoSpacing"/>
        <w:jc w:val="both"/>
        <w:rPr>
          <w:rFonts w:ascii="Times New Roman" w:hAnsi="Times New Roman" w:cs="Times New Roman"/>
          <w:b/>
          <w:sz w:val="24"/>
          <w:szCs w:val="24"/>
        </w:rPr>
      </w:pPr>
      <w:r w:rsidRPr="00BC3969">
        <w:rPr>
          <w:rFonts w:ascii="Times New Roman" w:hAnsi="Times New Roman" w:cs="Times New Roman"/>
          <w:b/>
          <w:sz w:val="24"/>
          <w:szCs w:val="24"/>
        </w:rPr>
        <w:t xml:space="preserve">Policy: </w:t>
      </w:r>
    </w:p>
    <w:p w:rsidR="008075D5" w:rsidRDefault="008075D5" w:rsidP="008F142D">
      <w:pPr>
        <w:pStyle w:val="NoSpacing"/>
        <w:jc w:val="both"/>
        <w:rPr>
          <w:rFonts w:ascii="Times New Roman" w:hAnsi="Times New Roman" w:cs="Times New Roman"/>
          <w:sz w:val="24"/>
          <w:szCs w:val="24"/>
        </w:rPr>
      </w:pPr>
      <w:r w:rsidRPr="008075D5">
        <w:rPr>
          <w:rFonts w:ascii="Times New Roman" w:hAnsi="Times New Roman" w:cs="Times New Roman"/>
          <w:sz w:val="24"/>
          <w:szCs w:val="24"/>
        </w:rPr>
        <w:t>In order for CTE programs to be funded with federal Perkins dollars, made available under the Strengthening Career and Technical Education for the 21</w:t>
      </w:r>
      <w:r w:rsidRPr="008075D5">
        <w:rPr>
          <w:rFonts w:ascii="Times New Roman" w:hAnsi="Times New Roman" w:cs="Times New Roman"/>
          <w:sz w:val="24"/>
          <w:szCs w:val="24"/>
          <w:vertAlign w:val="superscript"/>
        </w:rPr>
        <w:t>st</w:t>
      </w:r>
      <w:r w:rsidRPr="008075D5">
        <w:rPr>
          <w:rFonts w:ascii="Times New Roman" w:hAnsi="Times New Roman" w:cs="Times New Roman"/>
          <w:sz w:val="24"/>
          <w:szCs w:val="24"/>
        </w:rPr>
        <w:t xml:space="preserve"> Century Act (Perkins V), </w:t>
      </w:r>
      <w:r w:rsidRPr="00BC3969">
        <w:rPr>
          <w:rFonts w:ascii="Times New Roman" w:hAnsi="Times New Roman" w:cs="Times New Roman"/>
          <w:b/>
          <w:sz w:val="24"/>
          <w:szCs w:val="24"/>
        </w:rPr>
        <w:t>p</w:t>
      </w:r>
      <w:r w:rsidR="009B4D6B" w:rsidRPr="00BC3969">
        <w:rPr>
          <w:rFonts w:ascii="Times New Roman" w:hAnsi="Times New Roman" w:cs="Times New Roman"/>
          <w:b/>
          <w:sz w:val="24"/>
          <w:szCs w:val="24"/>
        </w:rPr>
        <w:t>rograms must mee</w:t>
      </w:r>
      <w:r w:rsidR="0002198E" w:rsidRPr="00BC3969">
        <w:rPr>
          <w:rFonts w:ascii="Times New Roman" w:hAnsi="Times New Roman" w:cs="Times New Roman"/>
          <w:b/>
          <w:sz w:val="24"/>
          <w:szCs w:val="24"/>
        </w:rPr>
        <w:t>t</w:t>
      </w:r>
      <w:r w:rsidRPr="00BC3969">
        <w:rPr>
          <w:rFonts w:ascii="Times New Roman" w:hAnsi="Times New Roman" w:cs="Times New Roman"/>
          <w:b/>
          <w:sz w:val="24"/>
          <w:szCs w:val="24"/>
        </w:rPr>
        <w:t xml:space="preserve"> or be working towards</w:t>
      </w:r>
      <w:r w:rsidR="0002198E" w:rsidRPr="008F142D">
        <w:rPr>
          <w:rFonts w:ascii="Times New Roman" w:hAnsi="Times New Roman" w:cs="Times New Roman"/>
          <w:sz w:val="24"/>
          <w:szCs w:val="24"/>
        </w:rPr>
        <w:t xml:space="preserve"> the</w:t>
      </w:r>
      <w:r w:rsidR="009B4D6B" w:rsidRPr="008F142D">
        <w:rPr>
          <w:rFonts w:ascii="Times New Roman" w:hAnsi="Times New Roman" w:cs="Times New Roman"/>
          <w:sz w:val="24"/>
          <w:szCs w:val="24"/>
        </w:rPr>
        <w:t xml:space="preserve"> State’s definition of size, scope, and quality in order to be deemed a </w:t>
      </w:r>
      <w:r w:rsidR="006016EE" w:rsidRPr="008F142D">
        <w:rPr>
          <w:rFonts w:ascii="Times New Roman" w:hAnsi="Times New Roman" w:cs="Times New Roman"/>
          <w:sz w:val="24"/>
          <w:szCs w:val="24"/>
        </w:rPr>
        <w:t>program of s</w:t>
      </w:r>
      <w:r w:rsidR="009B4D6B" w:rsidRPr="008F142D">
        <w:rPr>
          <w:rFonts w:ascii="Times New Roman" w:hAnsi="Times New Roman" w:cs="Times New Roman"/>
          <w:sz w:val="24"/>
          <w:szCs w:val="24"/>
        </w:rPr>
        <w:t>tudy</w:t>
      </w:r>
      <w:r w:rsidR="00BC3969">
        <w:rPr>
          <w:rFonts w:ascii="Times New Roman" w:hAnsi="Times New Roman" w:cs="Times New Roman"/>
          <w:sz w:val="24"/>
          <w:szCs w:val="24"/>
        </w:rPr>
        <w:t>, which is described on page</w:t>
      </w:r>
      <w:r w:rsidR="0018167D">
        <w:rPr>
          <w:rFonts w:ascii="Times New Roman" w:hAnsi="Times New Roman" w:cs="Times New Roman"/>
          <w:sz w:val="24"/>
          <w:szCs w:val="24"/>
        </w:rPr>
        <w:t>s</w:t>
      </w:r>
      <w:r w:rsidR="00BC3969">
        <w:rPr>
          <w:rFonts w:ascii="Times New Roman" w:hAnsi="Times New Roman" w:cs="Times New Roman"/>
          <w:sz w:val="24"/>
          <w:szCs w:val="24"/>
        </w:rPr>
        <w:t xml:space="preserve"> </w:t>
      </w:r>
      <w:r w:rsidR="0018167D" w:rsidRPr="0018167D">
        <w:rPr>
          <w:rFonts w:ascii="Times New Roman" w:hAnsi="Times New Roman" w:cs="Times New Roman"/>
          <w:sz w:val="24"/>
          <w:szCs w:val="24"/>
        </w:rPr>
        <w:t>24-31</w:t>
      </w:r>
      <w:r w:rsidR="00BC3969" w:rsidRPr="0018167D">
        <w:rPr>
          <w:rFonts w:ascii="Times New Roman" w:hAnsi="Times New Roman" w:cs="Times New Roman"/>
          <w:sz w:val="24"/>
          <w:szCs w:val="24"/>
        </w:rPr>
        <w:t xml:space="preserve"> of </w:t>
      </w:r>
      <w:hyperlink r:id="rId8" w:history="1">
        <w:r w:rsidR="00BC3969" w:rsidRPr="0018167D">
          <w:rPr>
            <w:rStyle w:val="Hyperlink"/>
            <w:rFonts w:ascii="Times New Roman" w:hAnsi="Times New Roman" w:cs="Times New Roman"/>
            <w:sz w:val="24"/>
            <w:szCs w:val="24"/>
          </w:rPr>
          <w:t>Illinois’ Perkins V State Plan</w:t>
        </w:r>
      </w:hyperlink>
      <w:r w:rsidR="009B4D6B" w:rsidRPr="0018167D">
        <w:rPr>
          <w:rFonts w:ascii="Times New Roman" w:hAnsi="Times New Roman" w:cs="Times New Roman"/>
          <w:sz w:val="24"/>
          <w:szCs w:val="24"/>
        </w:rPr>
        <w:t>.</w:t>
      </w:r>
      <w:r w:rsidR="00CC33C1" w:rsidRPr="008F142D">
        <w:rPr>
          <w:rFonts w:ascii="Times New Roman" w:hAnsi="Times New Roman" w:cs="Times New Roman"/>
          <w:sz w:val="24"/>
          <w:szCs w:val="24"/>
        </w:rPr>
        <w:t xml:space="preserve"> </w:t>
      </w:r>
    </w:p>
    <w:p w:rsidR="008075D5" w:rsidRPr="00BC3969" w:rsidRDefault="008075D5" w:rsidP="008F142D">
      <w:pPr>
        <w:pStyle w:val="NoSpacing"/>
        <w:jc w:val="both"/>
        <w:rPr>
          <w:rFonts w:ascii="Times New Roman" w:hAnsi="Times New Roman" w:cs="Times New Roman"/>
          <w:b/>
          <w:sz w:val="24"/>
          <w:szCs w:val="24"/>
        </w:rPr>
      </w:pPr>
      <w:r w:rsidRPr="00BC3969">
        <w:rPr>
          <w:rFonts w:ascii="Times New Roman" w:hAnsi="Times New Roman" w:cs="Times New Roman"/>
          <w:b/>
          <w:sz w:val="24"/>
          <w:szCs w:val="24"/>
        </w:rPr>
        <w:t xml:space="preserve">Timeline: </w:t>
      </w:r>
    </w:p>
    <w:p w:rsidR="008075D5" w:rsidRDefault="008075D5" w:rsidP="008F142D">
      <w:pPr>
        <w:pStyle w:val="NoSpacing"/>
        <w:jc w:val="both"/>
        <w:rPr>
          <w:rFonts w:ascii="Times New Roman" w:hAnsi="Times New Roman" w:cs="Times New Roman"/>
          <w:sz w:val="24"/>
          <w:szCs w:val="24"/>
        </w:rPr>
      </w:pPr>
      <w:r>
        <w:rPr>
          <w:rFonts w:ascii="Times New Roman" w:hAnsi="Times New Roman" w:cs="Times New Roman"/>
          <w:sz w:val="24"/>
          <w:szCs w:val="24"/>
        </w:rPr>
        <w:t>Effective July 1, 2020, institutions can fund CTE programs for two years</w:t>
      </w:r>
      <w:r w:rsidR="0018167D">
        <w:rPr>
          <w:rFonts w:ascii="Times New Roman" w:hAnsi="Times New Roman" w:cs="Times New Roman"/>
          <w:sz w:val="24"/>
          <w:szCs w:val="24"/>
        </w:rPr>
        <w:t>, and be working towards the size, scope, and quality components</w:t>
      </w:r>
      <w:r>
        <w:rPr>
          <w:rFonts w:ascii="Times New Roman" w:hAnsi="Times New Roman" w:cs="Times New Roman"/>
          <w:sz w:val="24"/>
          <w:szCs w:val="24"/>
        </w:rPr>
        <w:t>. Prior to the third yea</w:t>
      </w:r>
      <w:r w:rsidR="00BC3969">
        <w:rPr>
          <w:rFonts w:ascii="Times New Roman" w:hAnsi="Times New Roman" w:cs="Times New Roman"/>
          <w:sz w:val="24"/>
          <w:szCs w:val="24"/>
        </w:rPr>
        <w:t>r</w:t>
      </w:r>
      <w:r>
        <w:rPr>
          <w:rFonts w:ascii="Times New Roman" w:hAnsi="Times New Roman" w:cs="Times New Roman"/>
          <w:sz w:val="24"/>
          <w:szCs w:val="24"/>
        </w:rPr>
        <w:t xml:space="preserve">, the CTE program must meet the definition of a program of study and be approved by the ICCB in order to continue to be eligible for Perkins funding. </w:t>
      </w:r>
      <w:r w:rsidR="00BC3969">
        <w:rPr>
          <w:rFonts w:ascii="Times New Roman" w:hAnsi="Times New Roman" w:cs="Times New Roman"/>
          <w:sz w:val="24"/>
          <w:szCs w:val="24"/>
        </w:rPr>
        <w:t>(Example: If ABC Community College funds, in part or whole, the welding, nursing, and early childhood education programs with federal Perkins dollars in SFY2021 and 2022, ABC College will need to ensure each program meets the size, scope, and quality definitions and submit a program of study approval application in order to support each of these programs with federal Perkins dollars in SFY2023.)</w:t>
      </w:r>
    </w:p>
    <w:p w:rsidR="008075D5" w:rsidRPr="00BC3969" w:rsidRDefault="008075D5" w:rsidP="008F142D">
      <w:pPr>
        <w:pStyle w:val="NoSpacing"/>
        <w:jc w:val="both"/>
        <w:rPr>
          <w:rFonts w:ascii="Times New Roman" w:hAnsi="Times New Roman" w:cs="Times New Roman"/>
          <w:b/>
          <w:sz w:val="24"/>
          <w:szCs w:val="24"/>
        </w:rPr>
      </w:pPr>
      <w:r w:rsidRPr="00BC3969">
        <w:rPr>
          <w:rFonts w:ascii="Times New Roman" w:hAnsi="Times New Roman" w:cs="Times New Roman"/>
          <w:b/>
          <w:sz w:val="24"/>
          <w:szCs w:val="24"/>
        </w:rPr>
        <w:t>Approval Process:</w:t>
      </w:r>
    </w:p>
    <w:p w:rsidR="008F142D" w:rsidRPr="008F142D" w:rsidRDefault="00BC3969" w:rsidP="008F14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Submit this form with appropriate documentation to ICCB </w:t>
      </w:r>
      <w:r w:rsidR="003C27DA">
        <w:rPr>
          <w:rFonts w:ascii="Times New Roman" w:hAnsi="Times New Roman" w:cs="Times New Roman"/>
          <w:sz w:val="24"/>
          <w:szCs w:val="24"/>
        </w:rPr>
        <w:t xml:space="preserve">CTE staff </w:t>
      </w:r>
      <w:r>
        <w:rPr>
          <w:rFonts w:ascii="Times New Roman" w:hAnsi="Times New Roman" w:cs="Times New Roman"/>
          <w:sz w:val="24"/>
          <w:szCs w:val="24"/>
        </w:rPr>
        <w:t>(</w:t>
      </w:r>
      <w:hyperlink r:id="rId9" w:history="1">
        <w:r w:rsidRPr="0063685E">
          <w:rPr>
            <w:rStyle w:val="Hyperlink"/>
            <w:rFonts w:ascii="Times New Roman" w:hAnsi="Times New Roman" w:cs="Times New Roman"/>
            <w:sz w:val="24"/>
            <w:szCs w:val="24"/>
          </w:rPr>
          <w:t>cte@iccb.state.il.us</w:t>
        </w:r>
      </w:hyperlink>
      <w:r>
        <w:rPr>
          <w:rFonts w:ascii="Times New Roman" w:hAnsi="Times New Roman" w:cs="Times New Roman"/>
          <w:sz w:val="24"/>
          <w:szCs w:val="24"/>
        </w:rPr>
        <w:t>). Progra</w:t>
      </w:r>
      <w:r w:rsidR="003C27DA">
        <w:rPr>
          <w:rFonts w:ascii="Times New Roman" w:hAnsi="Times New Roman" w:cs="Times New Roman"/>
          <w:sz w:val="24"/>
          <w:szCs w:val="24"/>
        </w:rPr>
        <w:t xml:space="preserve">m of Study Applications can be submitted at any point in the year. However, colleges should allow two weeks for review and approval. </w:t>
      </w:r>
      <w:r w:rsidR="00E67529" w:rsidRPr="008F142D">
        <w:rPr>
          <w:rFonts w:ascii="Times New Roman" w:hAnsi="Times New Roman" w:cs="Times New Roman"/>
          <w:sz w:val="24"/>
          <w:szCs w:val="24"/>
        </w:rPr>
        <w:t>To determine if your program of study meets all requirements, utilize the Programs of Study Expectations Tool (</w:t>
      </w:r>
      <w:r w:rsidR="00E67529" w:rsidRPr="008F142D">
        <w:rPr>
          <w:rFonts w:ascii="Times New Roman" w:hAnsi="Times New Roman" w:cs="Times New Roman"/>
          <w:color w:val="FF0000"/>
          <w:sz w:val="24"/>
          <w:szCs w:val="24"/>
        </w:rPr>
        <w:t>link</w:t>
      </w:r>
      <w:r w:rsidR="00E67529" w:rsidRPr="008F142D">
        <w:rPr>
          <w:rFonts w:ascii="Times New Roman" w:hAnsi="Times New Roman" w:cs="Times New Roman"/>
          <w:sz w:val="24"/>
          <w:szCs w:val="24"/>
        </w:rPr>
        <w:t>). It may be helpful to complete this form as you work through the Expectations Tool.</w:t>
      </w:r>
      <w:r w:rsidR="008F142D" w:rsidRPr="008F142D">
        <w:rPr>
          <w:rFonts w:ascii="Times New Roman" w:hAnsi="Times New Roman" w:cs="Times New Roman"/>
          <w:sz w:val="24"/>
          <w:szCs w:val="24"/>
        </w:rPr>
        <w:t xml:space="preserve"> </w:t>
      </w:r>
      <w:r w:rsidR="00E67529" w:rsidRPr="008F142D">
        <w:rPr>
          <w:rFonts w:ascii="Times New Roman" w:hAnsi="Times New Roman" w:cs="Times New Roman"/>
          <w:sz w:val="24"/>
          <w:szCs w:val="24"/>
        </w:rPr>
        <w:t xml:space="preserve">Upon ICCB approval, colleges may </w:t>
      </w:r>
      <w:r w:rsidR="00D75D3E" w:rsidRPr="008F142D">
        <w:rPr>
          <w:rFonts w:ascii="Times New Roman" w:hAnsi="Times New Roman" w:cs="Times New Roman"/>
          <w:sz w:val="24"/>
          <w:szCs w:val="24"/>
        </w:rPr>
        <w:t>add</w:t>
      </w:r>
      <w:r w:rsidR="00E67529" w:rsidRPr="008F142D">
        <w:rPr>
          <w:rFonts w:ascii="Times New Roman" w:hAnsi="Times New Roman" w:cs="Times New Roman"/>
          <w:sz w:val="24"/>
          <w:szCs w:val="24"/>
        </w:rPr>
        <w:t xml:space="preserve"> the respective approved program </w:t>
      </w:r>
      <w:r w:rsidR="00D75D3E" w:rsidRPr="008F142D">
        <w:rPr>
          <w:rFonts w:ascii="Times New Roman" w:hAnsi="Times New Roman" w:cs="Times New Roman"/>
          <w:sz w:val="24"/>
          <w:szCs w:val="24"/>
        </w:rPr>
        <w:t xml:space="preserve">of study on their Program of Study Inventory. </w:t>
      </w:r>
    </w:p>
    <w:p w:rsidR="008F142D" w:rsidRPr="008F142D" w:rsidRDefault="008F142D" w:rsidP="008F142D">
      <w:pPr>
        <w:pStyle w:val="NoSpacing"/>
        <w:jc w:val="both"/>
        <w:rPr>
          <w:rFonts w:ascii="Times New Roman" w:hAnsi="Times New Roman" w:cs="Times New Roman"/>
          <w:sz w:val="24"/>
          <w:szCs w:val="24"/>
        </w:rPr>
      </w:pPr>
    </w:p>
    <w:p w:rsidR="009B4D6B" w:rsidRPr="008F142D" w:rsidRDefault="00947CFC" w:rsidP="008F142D">
      <w:pPr>
        <w:pStyle w:val="NoSpacing"/>
        <w:jc w:val="both"/>
        <w:rPr>
          <w:rFonts w:ascii="Times New Roman" w:hAnsi="Times New Roman" w:cs="Times New Roman"/>
          <w:b/>
          <w:sz w:val="24"/>
          <w:szCs w:val="24"/>
        </w:rPr>
      </w:pPr>
      <w:r>
        <w:rPr>
          <w:rFonts w:ascii="Times New Roman" w:hAnsi="Times New Roman" w:cs="Times New Roman"/>
          <w:b/>
          <w:sz w:val="24"/>
          <w:szCs w:val="24"/>
        </w:rPr>
        <w:pict w14:anchorId="60A269F9">
          <v:rect id="_x0000_i1025" style="width:0;height:1.5pt" o:hralign="center" o:hrstd="t" o:hr="t" fillcolor="#a0a0a0" stroked="f"/>
        </w:pict>
      </w:r>
    </w:p>
    <w:p w:rsidR="009B4D6B" w:rsidRPr="008F142D" w:rsidRDefault="009B4D6B" w:rsidP="008F142D">
      <w:pPr>
        <w:pStyle w:val="NoSpacing"/>
        <w:jc w:val="both"/>
        <w:rPr>
          <w:rFonts w:ascii="Times New Roman" w:hAnsi="Times New Roman" w:cs="Times New Roman"/>
          <w:sz w:val="24"/>
          <w:szCs w:val="24"/>
        </w:rPr>
      </w:pPr>
      <w:r w:rsidRPr="008F142D">
        <w:rPr>
          <w:rFonts w:ascii="Times New Roman" w:hAnsi="Times New Roman" w:cs="Times New Roman"/>
          <w:b/>
          <w:sz w:val="24"/>
          <w:szCs w:val="24"/>
        </w:rPr>
        <w:t xml:space="preserve">Instructions: </w:t>
      </w:r>
      <w:r w:rsidRPr="008F142D">
        <w:rPr>
          <w:rFonts w:ascii="Times New Roman" w:hAnsi="Times New Roman" w:cs="Times New Roman"/>
          <w:sz w:val="24"/>
          <w:szCs w:val="24"/>
        </w:rPr>
        <w:t>Thor</w:t>
      </w:r>
      <w:r w:rsidR="004213DB" w:rsidRPr="008F142D">
        <w:rPr>
          <w:rFonts w:ascii="Times New Roman" w:hAnsi="Times New Roman" w:cs="Times New Roman"/>
          <w:sz w:val="24"/>
          <w:szCs w:val="24"/>
        </w:rPr>
        <w:t xml:space="preserve">oughly review the terms of the size, scope, and quality criteria. Next to each of the nine quality components, </w:t>
      </w:r>
      <w:r w:rsidR="0039622C" w:rsidRPr="008F142D">
        <w:rPr>
          <w:rFonts w:ascii="Times New Roman" w:hAnsi="Times New Roman" w:cs="Times New Roman"/>
          <w:sz w:val="24"/>
          <w:szCs w:val="24"/>
        </w:rPr>
        <w:t xml:space="preserve">check the box if your Program of Study meets all </w:t>
      </w:r>
      <w:r w:rsidR="0002198E" w:rsidRPr="008F142D">
        <w:rPr>
          <w:rFonts w:ascii="Times New Roman" w:hAnsi="Times New Roman" w:cs="Times New Roman"/>
          <w:sz w:val="24"/>
          <w:szCs w:val="24"/>
        </w:rPr>
        <w:t>terms</w:t>
      </w:r>
      <w:r w:rsidR="0039622C" w:rsidRPr="008F142D">
        <w:rPr>
          <w:rFonts w:ascii="Times New Roman" w:hAnsi="Times New Roman" w:cs="Times New Roman"/>
          <w:sz w:val="24"/>
          <w:szCs w:val="24"/>
        </w:rPr>
        <w:t xml:space="preserve"> of the component. For each of the components </w:t>
      </w:r>
      <w:r w:rsidR="007F2885" w:rsidRPr="008F142D">
        <w:rPr>
          <w:rFonts w:ascii="Times New Roman" w:hAnsi="Times New Roman" w:cs="Times New Roman"/>
          <w:sz w:val="24"/>
          <w:szCs w:val="24"/>
        </w:rPr>
        <w:t xml:space="preserve">you must provide evidentiary support </w:t>
      </w:r>
      <w:r w:rsidR="00082ADF" w:rsidRPr="008F142D">
        <w:rPr>
          <w:rFonts w:ascii="Times New Roman" w:hAnsi="Times New Roman" w:cs="Times New Roman"/>
          <w:sz w:val="24"/>
          <w:szCs w:val="24"/>
        </w:rPr>
        <w:t>that you are in fact meeting that component.</w:t>
      </w:r>
      <w:r w:rsidR="006016EE" w:rsidRPr="008F142D">
        <w:rPr>
          <w:rFonts w:ascii="Times New Roman" w:hAnsi="Times New Roman" w:cs="Times New Roman"/>
          <w:sz w:val="24"/>
          <w:szCs w:val="24"/>
        </w:rPr>
        <w:t xml:space="preserve"> </w:t>
      </w:r>
      <w:r w:rsidR="0018167D">
        <w:rPr>
          <w:rFonts w:ascii="Times New Roman" w:hAnsi="Times New Roman" w:cs="Times New Roman"/>
          <w:sz w:val="24"/>
          <w:szCs w:val="24"/>
        </w:rPr>
        <w:t>While this includes a narrative description, it may also require support</w:t>
      </w:r>
      <w:r w:rsidR="00607899">
        <w:rPr>
          <w:rFonts w:ascii="Times New Roman" w:hAnsi="Times New Roman" w:cs="Times New Roman"/>
          <w:sz w:val="24"/>
          <w:szCs w:val="24"/>
        </w:rPr>
        <w:t>ing</w:t>
      </w:r>
      <w:bookmarkStart w:id="0" w:name="_GoBack"/>
      <w:bookmarkEnd w:id="0"/>
      <w:r w:rsidR="0018167D">
        <w:rPr>
          <w:rFonts w:ascii="Times New Roman" w:hAnsi="Times New Roman" w:cs="Times New Roman"/>
          <w:sz w:val="24"/>
          <w:szCs w:val="24"/>
        </w:rPr>
        <w:t xml:space="preserve"> documentation. </w:t>
      </w:r>
      <w:r w:rsidR="006016EE" w:rsidRPr="008F142D">
        <w:rPr>
          <w:rFonts w:ascii="Times New Roman" w:hAnsi="Times New Roman" w:cs="Times New Roman"/>
          <w:sz w:val="24"/>
          <w:szCs w:val="24"/>
        </w:rPr>
        <w:t xml:space="preserve">The Expectations Tool provides examples of acceptable supporting evidence. Upon completion, submit this form to </w:t>
      </w:r>
      <w:hyperlink r:id="rId10" w:history="1">
        <w:r w:rsidR="006016EE" w:rsidRPr="008F142D">
          <w:rPr>
            <w:rStyle w:val="Hyperlink"/>
            <w:rFonts w:ascii="Times New Roman" w:hAnsi="Times New Roman" w:cs="Times New Roman"/>
            <w:sz w:val="24"/>
            <w:szCs w:val="24"/>
          </w:rPr>
          <w:t>cte@iccb.state.il.us</w:t>
        </w:r>
      </w:hyperlink>
      <w:r w:rsidR="006016EE" w:rsidRPr="008F142D">
        <w:rPr>
          <w:rFonts w:ascii="Times New Roman" w:hAnsi="Times New Roman" w:cs="Times New Roman"/>
          <w:sz w:val="24"/>
          <w:szCs w:val="24"/>
        </w:rPr>
        <w:t xml:space="preserve">.  </w:t>
      </w:r>
    </w:p>
    <w:p w:rsidR="009E7FD4" w:rsidRPr="008F142D" w:rsidRDefault="009E7FD4" w:rsidP="008112BE">
      <w:pPr>
        <w:pStyle w:val="NoSpacing"/>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15"/>
        <w:gridCol w:w="8275"/>
      </w:tblGrid>
      <w:tr w:rsidR="00301D31" w:rsidRPr="008F142D" w:rsidTr="00397F87">
        <w:tc>
          <w:tcPr>
            <w:tcW w:w="2515" w:type="dxa"/>
            <w:shd w:val="clear" w:color="auto" w:fill="DEEAF6" w:themeFill="accent1" w:themeFillTint="33"/>
          </w:tcPr>
          <w:p w:rsidR="00301D31" w:rsidRPr="008F142D" w:rsidRDefault="00CC33C1" w:rsidP="008112BE">
            <w:pPr>
              <w:pStyle w:val="NoSpacing"/>
              <w:rPr>
                <w:rFonts w:ascii="Times New Roman" w:hAnsi="Times New Roman" w:cs="Times New Roman"/>
                <w:b/>
                <w:sz w:val="24"/>
                <w:szCs w:val="24"/>
              </w:rPr>
            </w:pPr>
            <w:r w:rsidRPr="008F142D">
              <w:rPr>
                <w:rFonts w:ascii="Times New Roman" w:hAnsi="Times New Roman" w:cs="Times New Roman"/>
                <w:b/>
                <w:sz w:val="24"/>
                <w:szCs w:val="24"/>
              </w:rPr>
              <w:t>Program of Study Title</w:t>
            </w:r>
          </w:p>
        </w:tc>
        <w:tc>
          <w:tcPr>
            <w:tcW w:w="8275" w:type="dxa"/>
          </w:tcPr>
          <w:p w:rsidR="00301D31" w:rsidRPr="008F142D" w:rsidRDefault="00301D31" w:rsidP="008112BE">
            <w:pPr>
              <w:pStyle w:val="NoSpacing"/>
              <w:rPr>
                <w:rFonts w:ascii="Times New Roman" w:hAnsi="Times New Roman" w:cs="Times New Roman"/>
                <w:b/>
                <w:sz w:val="24"/>
                <w:szCs w:val="24"/>
              </w:rPr>
            </w:pPr>
          </w:p>
        </w:tc>
      </w:tr>
      <w:tr w:rsidR="00F158E8" w:rsidRPr="008F142D" w:rsidTr="00397F87">
        <w:tc>
          <w:tcPr>
            <w:tcW w:w="2515" w:type="dxa"/>
            <w:shd w:val="clear" w:color="auto" w:fill="DEEAF6" w:themeFill="accent1" w:themeFillTint="33"/>
          </w:tcPr>
          <w:p w:rsidR="00F158E8" w:rsidRPr="008F142D" w:rsidRDefault="00F158E8" w:rsidP="008112BE">
            <w:pPr>
              <w:pStyle w:val="NoSpacing"/>
              <w:rPr>
                <w:rFonts w:ascii="Times New Roman" w:hAnsi="Times New Roman" w:cs="Times New Roman"/>
                <w:b/>
                <w:sz w:val="24"/>
                <w:szCs w:val="24"/>
              </w:rPr>
            </w:pPr>
            <w:r w:rsidRPr="008F142D">
              <w:rPr>
                <w:rFonts w:ascii="Times New Roman" w:hAnsi="Times New Roman" w:cs="Times New Roman"/>
                <w:b/>
                <w:sz w:val="24"/>
                <w:szCs w:val="24"/>
              </w:rPr>
              <w:t>CIP Code</w:t>
            </w:r>
          </w:p>
        </w:tc>
        <w:tc>
          <w:tcPr>
            <w:tcW w:w="8275" w:type="dxa"/>
          </w:tcPr>
          <w:p w:rsidR="00F158E8" w:rsidRPr="008F142D" w:rsidRDefault="00F158E8" w:rsidP="008112BE">
            <w:pPr>
              <w:pStyle w:val="NoSpacing"/>
              <w:rPr>
                <w:rFonts w:ascii="Times New Roman" w:hAnsi="Times New Roman" w:cs="Times New Roman"/>
                <w:b/>
                <w:sz w:val="24"/>
                <w:szCs w:val="24"/>
              </w:rPr>
            </w:pPr>
          </w:p>
        </w:tc>
      </w:tr>
    </w:tbl>
    <w:p w:rsidR="00301D31" w:rsidRPr="008F142D" w:rsidRDefault="00301D31" w:rsidP="008112BE">
      <w:pPr>
        <w:pStyle w:val="NoSpacing"/>
        <w:rPr>
          <w:rFonts w:ascii="Times New Roman" w:hAnsi="Times New Roman" w:cs="Times New Roman"/>
          <w:b/>
          <w:sz w:val="24"/>
          <w:szCs w:val="24"/>
        </w:rPr>
      </w:pPr>
    </w:p>
    <w:p w:rsidR="00F30175" w:rsidRPr="0018167D" w:rsidRDefault="00F30175" w:rsidP="008112BE">
      <w:pPr>
        <w:pStyle w:val="NoSpacing"/>
        <w:rPr>
          <w:rFonts w:ascii="Times New Roman" w:hAnsi="Times New Roman" w:cs="Times New Roman"/>
          <w:i/>
          <w:sz w:val="24"/>
          <w:szCs w:val="24"/>
        </w:rPr>
      </w:pPr>
      <w:r w:rsidRPr="008F142D">
        <w:rPr>
          <w:rFonts w:ascii="Times New Roman" w:hAnsi="Times New Roman" w:cs="Times New Roman"/>
          <w:b/>
          <w:sz w:val="24"/>
          <w:szCs w:val="24"/>
        </w:rPr>
        <w:t>Size Criteria:</w:t>
      </w:r>
      <w:r w:rsidR="0018167D">
        <w:rPr>
          <w:rFonts w:ascii="Times New Roman" w:hAnsi="Times New Roman" w:cs="Times New Roman"/>
          <w:b/>
          <w:sz w:val="24"/>
          <w:szCs w:val="24"/>
        </w:rPr>
        <w:t xml:space="preserve"> </w:t>
      </w:r>
      <w:r w:rsidR="0018167D" w:rsidRPr="0018167D">
        <w:rPr>
          <w:rFonts w:ascii="Times New Roman" w:hAnsi="Times New Roman" w:cs="Times New Roman"/>
          <w:i/>
          <w:sz w:val="24"/>
          <w:szCs w:val="24"/>
        </w:rPr>
        <w:t>(incorporated into the quality components)</w:t>
      </w:r>
    </w:p>
    <w:p w:rsidR="00F30175" w:rsidRPr="008F142D" w:rsidRDefault="00F30175" w:rsidP="008F142D">
      <w:pPr>
        <w:pStyle w:val="NoSpacing"/>
        <w:numPr>
          <w:ilvl w:val="0"/>
          <w:numId w:val="2"/>
        </w:numPr>
        <w:jc w:val="both"/>
        <w:rPr>
          <w:rFonts w:ascii="Times New Roman" w:hAnsi="Times New Roman" w:cs="Times New Roman"/>
          <w:sz w:val="24"/>
          <w:szCs w:val="24"/>
        </w:rPr>
      </w:pPr>
      <w:r w:rsidRPr="008F142D">
        <w:rPr>
          <w:rFonts w:ascii="Times New Roman" w:hAnsi="Times New Roman" w:cs="Times New Roman"/>
          <w:sz w:val="24"/>
          <w:szCs w:val="24"/>
        </w:rPr>
        <w:t>Local recipients must implement and offer at least one state-approved CTE program of study in one of the nationally recognized 16 career clusters.</w:t>
      </w:r>
    </w:p>
    <w:p w:rsidR="00F30175" w:rsidRPr="008F142D" w:rsidRDefault="00F30175" w:rsidP="008F142D">
      <w:pPr>
        <w:pStyle w:val="NoSpacing"/>
        <w:numPr>
          <w:ilvl w:val="0"/>
          <w:numId w:val="2"/>
        </w:numPr>
        <w:jc w:val="both"/>
        <w:rPr>
          <w:rFonts w:ascii="Times New Roman" w:hAnsi="Times New Roman" w:cs="Times New Roman"/>
          <w:sz w:val="24"/>
          <w:szCs w:val="24"/>
        </w:rPr>
      </w:pPr>
      <w:r w:rsidRPr="008F142D">
        <w:rPr>
          <w:rFonts w:ascii="Times New Roman" w:hAnsi="Times New Roman" w:cs="Times New Roman"/>
          <w:sz w:val="24"/>
          <w:szCs w:val="24"/>
        </w:rPr>
        <w:t>All programs of study are aligned to state, regional, or local in-demand sectors using labor market information.</w:t>
      </w:r>
    </w:p>
    <w:p w:rsidR="00F30175" w:rsidRPr="008F142D" w:rsidRDefault="00F30175" w:rsidP="008F142D">
      <w:pPr>
        <w:pStyle w:val="NoSpacing"/>
        <w:numPr>
          <w:ilvl w:val="0"/>
          <w:numId w:val="2"/>
        </w:numPr>
        <w:jc w:val="both"/>
        <w:rPr>
          <w:rFonts w:ascii="Times New Roman" w:hAnsi="Times New Roman" w:cs="Times New Roman"/>
          <w:sz w:val="24"/>
          <w:szCs w:val="24"/>
        </w:rPr>
      </w:pPr>
      <w:r w:rsidRPr="008F142D">
        <w:rPr>
          <w:rFonts w:ascii="Times New Roman" w:hAnsi="Times New Roman" w:cs="Times New Roman"/>
          <w:sz w:val="24"/>
          <w:szCs w:val="24"/>
        </w:rPr>
        <w:t>Postsecondary recipients must follow local board policies on class size.</w:t>
      </w:r>
    </w:p>
    <w:p w:rsidR="00F30175" w:rsidRPr="008F142D" w:rsidRDefault="00F30175" w:rsidP="008F142D">
      <w:pPr>
        <w:pStyle w:val="NoSpacing"/>
        <w:numPr>
          <w:ilvl w:val="0"/>
          <w:numId w:val="2"/>
        </w:numPr>
        <w:jc w:val="both"/>
        <w:rPr>
          <w:rFonts w:ascii="Times New Roman" w:hAnsi="Times New Roman" w:cs="Times New Roman"/>
          <w:sz w:val="24"/>
          <w:szCs w:val="24"/>
        </w:rPr>
      </w:pPr>
      <w:r w:rsidRPr="008F142D">
        <w:rPr>
          <w:rFonts w:ascii="Times New Roman" w:hAnsi="Times New Roman" w:cs="Times New Roman"/>
          <w:sz w:val="24"/>
          <w:szCs w:val="24"/>
        </w:rPr>
        <w:t>Th</w:t>
      </w:r>
      <w:r w:rsidR="00283763" w:rsidRPr="008F142D">
        <w:rPr>
          <w:rFonts w:ascii="Times New Roman" w:hAnsi="Times New Roman" w:cs="Times New Roman"/>
          <w:sz w:val="24"/>
          <w:szCs w:val="24"/>
        </w:rPr>
        <w:t xml:space="preserve">e size of the program </w:t>
      </w:r>
      <w:r w:rsidRPr="008F142D">
        <w:rPr>
          <w:rFonts w:ascii="Times New Roman" w:hAnsi="Times New Roman" w:cs="Times New Roman"/>
          <w:sz w:val="24"/>
          <w:szCs w:val="24"/>
        </w:rPr>
        <w:t>appropriately meet</w:t>
      </w:r>
      <w:r w:rsidR="00283763" w:rsidRPr="008F142D">
        <w:rPr>
          <w:rFonts w:ascii="Times New Roman" w:hAnsi="Times New Roman" w:cs="Times New Roman"/>
          <w:sz w:val="24"/>
          <w:szCs w:val="24"/>
        </w:rPr>
        <w:t>s</w:t>
      </w:r>
      <w:r w:rsidRPr="008F142D">
        <w:rPr>
          <w:rFonts w:ascii="Times New Roman" w:hAnsi="Times New Roman" w:cs="Times New Roman"/>
          <w:sz w:val="24"/>
          <w:szCs w:val="24"/>
        </w:rPr>
        <w:t xml:space="preserve"> the local labor market demand.</w:t>
      </w:r>
    </w:p>
    <w:p w:rsidR="00301D31" w:rsidRPr="008F142D" w:rsidRDefault="00301D31" w:rsidP="008F142D">
      <w:pPr>
        <w:pStyle w:val="NoSpacing"/>
        <w:jc w:val="both"/>
        <w:rPr>
          <w:rFonts w:ascii="Times New Roman" w:hAnsi="Times New Roman" w:cs="Times New Roman"/>
          <w:sz w:val="24"/>
          <w:szCs w:val="24"/>
        </w:rPr>
      </w:pPr>
    </w:p>
    <w:p w:rsidR="00301D31" w:rsidRPr="0018167D" w:rsidRDefault="00F30175" w:rsidP="008F142D">
      <w:pPr>
        <w:pStyle w:val="NoSpacing"/>
        <w:jc w:val="both"/>
        <w:rPr>
          <w:rFonts w:ascii="Times New Roman" w:hAnsi="Times New Roman" w:cs="Times New Roman"/>
          <w:i/>
          <w:sz w:val="24"/>
          <w:szCs w:val="24"/>
        </w:rPr>
      </w:pPr>
      <w:r w:rsidRPr="008F142D">
        <w:rPr>
          <w:rFonts w:ascii="Times New Roman" w:hAnsi="Times New Roman" w:cs="Times New Roman"/>
          <w:b/>
          <w:sz w:val="24"/>
          <w:szCs w:val="24"/>
        </w:rPr>
        <w:t>Scope</w:t>
      </w:r>
      <w:r w:rsidR="00301D31" w:rsidRPr="008F142D">
        <w:rPr>
          <w:rFonts w:ascii="Times New Roman" w:hAnsi="Times New Roman" w:cs="Times New Roman"/>
          <w:b/>
          <w:sz w:val="24"/>
          <w:szCs w:val="24"/>
        </w:rPr>
        <w:t xml:space="preserve"> Criteria</w:t>
      </w:r>
      <w:r w:rsidRPr="008F142D">
        <w:rPr>
          <w:rFonts w:ascii="Times New Roman" w:hAnsi="Times New Roman" w:cs="Times New Roman"/>
          <w:b/>
          <w:sz w:val="24"/>
          <w:szCs w:val="24"/>
        </w:rPr>
        <w:t>:</w:t>
      </w:r>
      <w:r w:rsidR="005E4031" w:rsidRPr="008F142D">
        <w:rPr>
          <w:rFonts w:ascii="Times New Roman" w:hAnsi="Times New Roman" w:cs="Times New Roman"/>
          <w:sz w:val="24"/>
          <w:szCs w:val="24"/>
        </w:rPr>
        <w:t xml:space="preserve"> </w:t>
      </w:r>
      <w:r w:rsidR="0018167D" w:rsidRPr="0018167D">
        <w:rPr>
          <w:rFonts w:ascii="Times New Roman" w:hAnsi="Times New Roman" w:cs="Times New Roman"/>
          <w:i/>
          <w:sz w:val="24"/>
          <w:szCs w:val="24"/>
        </w:rPr>
        <w:t>(incorporated into the quality components)</w:t>
      </w:r>
    </w:p>
    <w:p w:rsidR="00301D31" w:rsidRPr="008F142D" w:rsidRDefault="005E4031" w:rsidP="008F142D">
      <w:pPr>
        <w:pStyle w:val="NoSpacing"/>
        <w:numPr>
          <w:ilvl w:val="0"/>
          <w:numId w:val="4"/>
        </w:numPr>
        <w:jc w:val="both"/>
        <w:rPr>
          <w:rFonts w:ascii="Times New Roman" w:hAnsi="Times New Roman" w:cs="Times New Roman"/>
          <w:sz w:val="24"/>
          <w:szCs w:val="24"/>
        </w:rPr>
      </w:pPr>
      <w:r w:rsidRPr="008F142D">
        <w:rPr>
          <w:rFonts w:ascii="Times New Roman" w:hAnsi="Times New Roman" w:cs="Times New Roman"/>
          <w:sz w:val="24"/>
          <w:szCs w:val="24"/>
        </w:rPr>
        <w:t xml:space="preserve">A program of study provides students with a strong experience in and comprehensive understanding of all aspects of an industry. </w:t>
      </w:r>
    </w:p>
    <w:p w:rsidR="00301D31" w:rsidRPr="008F142D" w:rsidRDefault="005E4031" w:rsidP="008F142D">
      <w:pPr>
        <w:pStyle w:val="NoSpacing"/>
        <w:numPr>
          <w:ilvl w:val="0"/>
          <w:numId w:val="4"/>
        </w:numPr>
        <w:jc w:val="both"/>
        <w:rPr>
          <w:rFonts w:ascii="Times New Roman" w:hAnsi="Times New Roman" w:cs="Times New Roman"/>
          <w:sz w:val="24"/>
          <w:szCs w:val="24"/>
        </w:rPr>
      </w:pPr>
      <w:r w:rsidRPr="008F142D">
        <w:rPr>
          <w:rFonts w:ascii="Times New Roman" w:hAnsi="Times New Roman" w:cs="Times New Roman"/>
          <w:sz w:val="24"/>
          <w:szCs w:val="24"/>
        </w:rPr>
        <w:t xml:space="preserve">The scope of a program must be specified through curricular development, evaluation, and revision. </w:t>
      </w:r>
    </w:p>
    <w:p w:rsidR="00F30175" w:rsidRPr="008F142D" w:rsidRDefault="005E4031" w:rsidP="008F142D">
      <w:pPr>
        <w:pStyle w:val="NoSpacing"/>
        <w:numPr>
          <w:ilvl w:val="0"/>
          <w:numId w:val="4"/>
        </w:numPr>
        <w:jc w:val="both"/>
        <w:rPr>
          <w:rFonts w:ascii="Times New Roman" w:hAnsi="Times New Roman" w:cs="Times New Roman"/>
          <w:sz w:val="24"/>
          <w:szCs w:val="24"/>
        </w:rPr>
      </w:pPr>
      <w:r w:rsidRPr="008F142D">
        <w:rPr>
          <w:rFonts w:ascii="Times New Roman" w:hAnsi="Times New Roman" w:cs="Times New Roman"/>
          <w:sz w:val="24"/>
          <w:szCs w:val="24"/>
        </w:rPr>
        <w:t>Program scope must be defined in consultation with all stakeholders, including business and industry.</w:t>
      </w:r>
    </w:p>
    <w:p w:rsidR="00E5530A" w:rsidRPr="008F142D" w:rsidRDefault="00E5530A" w:rsidP="008F142D">
      <w:pPr>
        <w:pStyle w:val="NoSpacing"/>
        <w:jc w:val="both"/>
        <w:rPr>
          <w:rFonts w:ascii="Times New Roman" w:hAnsi="Times New Roman" w:cs="Times New Roman"/>
          <w:sz w:val="24"/>
          <w:szCs w:val="24"/>
        </w:rPr>
      </w:pPr>
    </w:p>
    <w:p w:rsidR="00301D31" w:rsidRPr="0018167D" w:rsidRDefault="00E5530A" w:rsidP="00397F87">
      <w:pPr>
        <w:pStyle w:val="NoSpacing"/>
        <w:jc w:val="both"/>
        <w:rPr>
          <w:rFonts w:ascii="Times New Roman" w:hAnsi="Times New Roman" w:cs="Times New Roman"/>
          <w:i/>
          <w:sz w:val="24"/>
          <w:szCs w:val="24"/>
        </w:rPr>
      </w:pPr>
      <w:r w:rsidRPr="008F142D">
        <w:rPr>
          <w:rFonts w:ascii="Times New Roman" w:hAnsi="Times New Roman" w:cs="Times New Roman"/>
          <w:b/>
          <w:sz w:val="24"/>
          <w:szCs w:val="24"/>
        </w:rPr>
        <w:t>Quality Criteria:</w:t>
      </w:r>
      <w:r w:rsidR="0018167D">
        <w:rPr>
          <w:rFonts w:ascii="Times New Roman" w:hAnsi="Times New Roman" w:cs="Times New Roman"/>
          <w:b/>
          <w:sz w:val="24"/>
          <w:szCs w:val="24"/>
        </w:rPr>
        <w:t xml:space="preserve"> </w:t>
      </w:r>
      <w:r w:rsidR="0018167D" w:rsidRPr="0018167D">
        <w:rPr>
          <w:rFonts w:ascii="Times New Roman" w:hAnsi="Times New Roman" w:cs="Times New Roman"/>
          <w:i/>
          <w:sz w:val="24"/>
          <w:szCs w:val="24"/>
        </w:rPr>
        <w:t>(see below)</w:t>
      </w:r>
    </w:p>
    <w:p w:rsidR="00F30175" w:rsidRPr="008F142D" w:rsidRDefault="00F30175" w:rsidP="008112BE">
      <w:pPr>
        <w:pStyle w:val="NoSpacing"/>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625"/>
        <w:gridCol w:w="6209"/>
        <w:gridCol w:w="3956"/>
      </w:tblGrid>
      <w:tr w:rsidR="00F158E8" w:rsidRPr="008F142D" w:rsidTr="00397F87">
        <w:trPr>
          <w:jc w:val="center"/>
        </w:trPr>
        <w:tc>
          <w:tcPr>
            <w:tcW w:w="3167" w:type="pct"/>
            <w:gridSpan w:val="2"/>
            <w:shd w:val="clear" w:color="auto" w:fill="DEEAF6" w:themeFill="accent1" w:themeFillTint="33"/>
          </w:tcPr>
          <w:p w:rsidR="00F158E8" w:rsidRPr="008F142D" w:rsidRDefault="00F158E8" w:rsidP="00963667">
            <w:pPr>
              <w:pStyle w:val="NoSpacing"/>
              <w:jc w:val="center"/>
              <w:rPr>
                <w:rFonts w:ascii="Times New Roman" w:hAnsi="Times New Roman" w:cs="Times New Roman"/>
                <w:b/>
                <w:sz w:val="24"/>
                <w:szCs w:val="24"/>
              </w:rPr>
            </w:pPr>
            <w:r w:rsidRPr="008F142D">
              <w:rPr>
                <w:rFonts w:ascii="Times New Roman" w:hAnsi="Times New Roman" w:cs="Times New Roman"/>
                <w:b/>
                <w:sz w:val="24"/>
                <w:szCs w:val="24"/>
              </w:rPr>
              <w:t>Quality Component</w:t>
            </w:r>
          </w:p>
        </w:tc>
        <w:tc>
          <w:tcPr>
            <w:tcW w:w="1833" w:type="pct"/>
            <w:shd w:val="clear" w:color="auto" w:fill="DEEAF6" w:themeFill="accent1" w:themeFillTint="33"/>
          </w:tcPr>
          <w:p w:rsidR="00F158E8" w:rsidRPr="008F142D" w:rsidRDefault="00F158E8" w:rsidP="00963667">
            <w:pPr>
              <w:pStyle w:val="NoSpacing"/>
              <w:jc w:val="center"/>
              <w:rPr>
                <w:rFonts w:ascii="Times New Roman" w:hAnsi="Times New Roman" w:cs="Times New Roman"/>
                <w:b/>
                <w:sz w:val="24"/>
                <w:szCs w:val="24"/>
              </w:rPr>
            </w:pPr>
            <w:r w:rsidRPr="008F142D">
              <w:rPr>
                <w:rFonts w:ascii="Times New Roman" w:hAnsi="Times New Roman" w:cs="Times New Roman"/>
                <w:b/>
                <w:sz w:val="24"/>
                <w:szCs w:val="24"/>
              </w:rPr>
              <w:t>Evidentiary Support</w:t>
            </w:r>
          </w:p>
        </w:tc>
      </w:tr>
      <w:tr w:rsidR="00F158E8" w:rsidRPr="008F142D" w:rsidTr="00397F87">
        <w:trPr>
          <w:jc w:val="center"/>
        </w:trPr>
        <w:sdt>
          <w:sdtPr>
            <w:rPr>
              <w:rFonts w:ascii="Times New Roman" w:hAnsi="Times New Roman" w:cs="Times New Roman"/>
              <w:sz w:val="24"/>
              <w:szCs w:val="24"/>
            </w:rPr>
            <w:id w:val="-1841312294"/>
            <w14:checkbox>
              <w14:checked w14:val="0"/>
              <w14:checkedState w14:val="2612" w14:font="MS Gothic"/>
              <w14:uncheckedState w14:val="2610" w14:font="MS Gothic"/>
            </w14:checkbox>
          </w:sdtPr>
          <w:sdtEndPr/>
          <w:sdtContent>
            <w:tc>
              <w:tcPr>
                <w:tcW w:w="290" w:type="pct"/>
                <w:vAlign w:val="center"/>
              </w:tcPr>
              <w:p w:rsidR="00F158E8" w:rsidRPr="008F142D" w:rsidRDefault="00CD6EA3" w:rsidP="00963667">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F158E8" w:rsidRPr="008F142D" w:rsidRDefault="00F158E8" w:rsidP="00963667">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1. Development and Engagement</w:t>
            </w:r>
          </w:p>
          <w:p w:rsidR="00F158E8" w:rsidRPr="008F142D" w:rsidRDefault="00F158E8" w:rsidP="00963667">
            <w:pPr>
              <w:pStyle w:val="NoSpacing"/>
              <w:jc w:val="both"/>
              <w:rPr>
                <w:rFonts w:ascii="Times New Roman" w:hAnsi="Times New Roman" w:cs="Times New Roman"/>
                <w:sz w:val="24"/>
                <w:szCs w:val="24"/>
                <w:u w:val="single"/>
              </w:rPr>
            </w:pPr>
          </w:p>
          <w:p w:rsidR="00F158E8" w:rsidRPr="008F142D" w:rsidRDefault="00F158E8" w:rsidP="00963667">
            <w:pPr>
              <w:pStyle w:val="NoSpacing"/>
              <w:jc w:val="both"/>
              <w:rPr>
                <w:rFonts w:ascii="Times New Roman" w:hAnsi="Times New Roman" w:cs="Times New Roman"/>
                <w:sz w:val="24"/>
                <w:szCs w:val="24"/>
              </w:rPr>
            </w:pPr>
            <w:r w:rsidRPr="008F142D">
              <w:rPr>
                <w:rFonts w:ascii="Times New Roman" w:hAnsi="Times New Roman" w:cs="Times New Roman"/>
                <w:sz w:val="24"/>
                <w:szCs w:val="24"/>
              </w:rPr>
              <w:t xml:space="preserve">All programs of study must be developed through </w:t>
            </w:r>
            <w:r w:rsidRPr="008F142D">
              <w:rPr>
                <w:rFonts w:ascii="Times New Roman" w:hAnsi="Times New Roman" w:cs="Times New Roman"/>
                <w:b/>
                <w:sz w:val="24"/>
                <w:szCs w:val="24"/>
              </w:rPr>
              <w:t>secondary and postsecondary collaboration</w:t>
            </w:r>
            <w:r w:rsidRPr="008F142D">
              <w:rPr>
                <w:rFonts w:ascii="Times New Roman" w:hAnsi="Times New Roman" w:cs="Times New Roman"/>
                <w:sz w:val="24"/>
                <w:szCs w:val="24"/>
              </w:rPr>
              <w:t>, respond to the analysis and findings of the CLNA, and</w:t>
            </w:r>
            <w:r w:rsidRPr="008F142D">
              <w:rPr>
                <w:rFonts w:ascii="Times New Roman" w:hAnsi="Times New Roman" w:cs="Times New Roman"/>
                <w:b/>
                <w:sz w:val="24"/>
                <w:szCs w:val="24"/>
              </w:rPr>
              <w:t xml:space="preserve"> be informed by external stakeholders.</w:t>
            </w:r>
            <w:r w:rsidRPr="008F142D">
              <w:rPr>
                <w:rFonts w:ascii="Times New Roman" w:hAnsi="Times New Roman" w:cs="Times New Roman"/>
                <w:sz w:val="24"/>
                <w:szCs w:val="24"/>
              </w:rPr>
              <w:t xml:space="preserve"> An advisory committee must meet at least annually to review and support programs of study (and/or to consider multiple programs of study within a cluster or related cluster grouping). The advisory committee must review labor market information; provide input on current industry practices; identify high-skill, high-wage, and in-demand occupations and related competencies within the region; consider long-term industry trends and future of work; and participate in the continuous improvement process.</w:t>
            </w:r>
          </w:p>
          <w:p w:rsidR="00F158E8" w:rsidRPr="008F142D" w:rsidRDefault="00F158E8" w:rsidP="00963667">
            <w:pPr>
              <w:pStyle w:val="NoSpacing"/>
              <w:jc w:val="both"/>
              <w:rPr>
                <w:rFonts w:ascii="Times New Roman" w:hAnsi="Times New Roman" w:cs="Times New Roman"/>
                <w:sz w:val="24"/>
                <w:szCs w:val="24"/>
              </w:rPr>
            </w:pPr>
          </w:p>
        </w:tc>
        <w:tc>
          <w:tcPr>
            <w:tcW w:w="1833" w:type="pct"/>
          </w:tcPr>
          <w:p w:rsidR="00F158E8" w:rsidRPr="008F142D" w:rsidRDefault="00F158E8" w:rsidP="000F3A69">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318082415"/>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2. Employer-Informed Competencies and Skills</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 xml:space="preserve">Programs of Study must </w:t>
            </w:r>
            <w:r w:rsidRPr="008F142D">
              <w:rPr>
                <w:rFonts w:ascii="Times New Roman" w:hAnsi="Times New Roman" w:cs="Times New Roman"/>
                <w:b/>
                <w:sz w:val="24"/>
                <w:szCs w:val="24"/>
              </w:rPr>
              <w:t>align instruction with employer-informed technical and essential employability competencies</w:t>
            </w:r>
            <w:r w:rsidRPr="008F142D">
              <w:rPr>
                <w:rFonts w:ascii="Times New Roman" w:hAnsi="Times New Roman" w:cs="Times New Roman"/>
                <w:sz w:val="24"/>
                <w:szCs w:val="24"/>
              </w:rPr>
              <w:t xml:space="preserve"> conducive to a high-skill, high-wage, and in-demand occupation.</w:t>
            </w: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(e.g. How are employability skills incorporated into the curriculum?)</w:t>
            </w:r>
          </w:p>
          <w:p w:rsidR="00CD6EA3" w:rsidRPr="008F142D" w:rsidRDefault="00CD6EA3" w:rsidP="00CD6EA3">
            <w:pPr>
              <w:pStyle w:val="NoSpacing"/>
              <w:jc w:val="both"/>
              <w:rPr>
                <w:rFonts w:ascii="Times New Roman" w:hAnsi="Times New Roman" w:cs="Times New Roman"/>
                <w:sz w:val="24"/>
                <w:szCs w:val="24"/>
              </w:rPr>
            </w:pP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1266578881"/>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3. Instructional Sequence</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Programs of Study must provide a non-duplicative, fully articulated sequence of courses from secondary through postsecondary.</w:t>
            </w: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i/>
                <w:sz w:val="24"/>
                <w:szCs w:val="24"/>
              </w:rPr>
            </w:pPr>
            <w:r w:rsidRPr="008F142D">
              <w:rPr>
                <w:rFonts w:ascii="Times New Roman" w:hAnsi="Times New Roman" w:cs="Times New Roman"/>
                <w:i/>
                <w:sz w:val="24"/>
                <w:szCs w:val="24"/>
              </w:rPr>
              <w:t xml:space="preserve">Attach secondary-to-postsecondary course sequence, identifying participating high schools as well as which courses are dual credit. If there are other entry and exit points (e.g. integrated education and training, articulation with 4-year institutions, non-credit to credit pathways, etc.), please note those as well. </w:t>
            </w:r>
          </w:p>
        </w:tc>
      </w:tr>
      <w:tr w:rsidR="00CD6EA3" w:rsidRPr="008F142D" w:rsidTr="00397F87">
        <w:trPr>
          <w:jc w:val="center"/>
        </w:trPr>
        <w:sdt>
          <w:sdtPr>
            <w:rPr>
              <w:rFonts w:ascii="Times New Roman" w:hAnsi="Times New Roman" w:cs="Times New Roman"/>
              <w:sz w:val="24"/>
              <w:szCs w:val="24"/>
            </w:rPr>
            <w:id w:val="-862124833"/>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4. Work-Based Learning</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Programs of study must include a secondary to postsecondary continuum of work-based learning and related authentic learning experiences that includes, at minimum, each of the following:</w:t>
            </w:r>
          </w:p>
          <w:p w:rsidR="00CD6EA3" w:rsidRPr="008F142D" w:rsidRDefault="00CD6EA3" w:rsidP="00CD6EA3">
            <w:pPr>
              <w:pStyle w:val="NoSpacing"/>
              <w:numPr>
                <w:ilvl w:val="0"/>
                <w:numId w:val="1"/>
              </w:numPr>
              <w:jc w:val="both"/>
              <w:rPr>
                <w:rFonts w:ascii="Times New Roman" w:hAnsi="Times New Roman" w:cs="Times New Roman"/>
                <w:sz w:val="24"/>
                <w:szCs w:val="24"/>
              </w:rPr>
            </w:pPr>
            <w:r w:rsidRPr="008F142D">
              <w:rPr>
                <w:rFonts w:ascii="Times New Roman" w:hAnsi="Times New Roman" w:cs="Times New Roman"/>
                <w:sz w:val="24"/>
                <w:szCs w:val="24"/>
              </w:rPr>
              <w:t>Team-based challenges and/or CTSOs; and</w:t>
            </w:r>
          </w:p>
          <w:p w:rsidR="00CD6EA3" w:rsidRPr="008F142D" w:rsidRDefault="00CD6EA3" w:rsidP="00CD6EA3">
            <w:pPr>
              <w:pStyle w:val="NoSpacing"/>
              <w:numPr>
                <w:ilvl w:val="0"/>
                <w:numId w:val="1"/>
              </w:numPr>
              <w:jc w:val="both"/>
              <w:rPr>
                <w:rFonts w:ascii="Times New Roman" w:hAnsi="Times New Roman" w:cs="Times New Roman"/>
                <w:sz w:val="24"/>
                <w:szCs w:val="24"/>
              </w:rPr>
            </w:pPr>
            <w:r w:rsidRPr="008F142D">
              <w:rPr>
                <w:rFonts w:ascii="Times New Roman" w:hAnsi="Times New Roman" w:cs="Times New Roman"/>
                <w:sz w:val="24"/>
                <w:szCs w:val="24"/>
              </w:rPr>
              <w:t>One or more of the following, at both the secondary and postsecondary levels:</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internships</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career-related service learning</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paid work experience</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on-the-job training</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lastRenderedPageBreak/>
              <w:t>incumbent worker training</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transitional jobs</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apprenticeships (i.e., youth, pre-, registered, non-registered, research)</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student-led enterprise</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remote work for a client/employer</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school-based enterprise</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 xml:space="preserve">cooperative work agreement </w:t>
            </w:r>
          </w:p>
          <w:p w:rsidR="00CD6EA3" w:rsidRPr="008F142D" w:rsidRDefault="00CD6EA3" w:rsidP="00CD6EA3">
            <w:pPr>
              <w:pStyle w:val="NoSpacing"/>
              <w:numPr>
                <w:ilvl w:val="1"/>
                <w:numId w:val="1"/>
              </w:numPr>
              <w:jc w:val="both"/>
              <w:rPr>
                <w:rFonts w:ascii="Times New Roman" w:hAnsi="Times New Roman" w:cs="Times New Roman"/>
                <w:sz w:val="24"/>
                <w:szCs w:val="24"/>
              </w:rPr>
            </w:pPr>
            <w:r w:rsidRPr="008F142D">
              <w:rPr>
                <w:rFonts w:ascii="Times New Roman" w:hAnsi="Times New Roman" w:cs="Times New Roman"/>
                <w:sz w:val="24"/>
                <w:szCs w:val="24"/>
              </w:rPr>
              <w:t>clinical experience</w:t>
            </w: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1950119173"/>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5. Recruitment and Access</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Programs of Study must ensure access is equitable and all students are able to receive supports to persist and succeed in CTE courses. (e.g. How are secondary students informed about this program and its preparation for employment? What other entry points are there? In what ways will the college provide awareness of this program in order to address labor market demand?)</w:t>
            </w: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40525306"/>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6. Academic Instruction and Supports</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Programs of Study must include challenging academic instruction and wraparound services to facilitate successful student progression.</w:t>
            </w: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649293749"/>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7. Instructors</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Program of Study instructors must collaborate with industry professionals, engage in professional learning, and meet specified qualifications.</w:t>
            </w: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2047400374"/>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8. Facilities and Equipment</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Programs of Study must be offered in accessible facilities that use industry-standard technology and equipment.</w:t>
            </w:r>
          </w:p>
          <w:p w:rsidR="00CD6EA3" w:rsidRPr="008F142D" w:rsidRDefault="00CD6EA3" w:rsidP="00CD6EA3">
            <w:pPr>
              <w:pStyle w:val="NoSpacing"/>
              <w:jc w:val="both"/>
              <w:rPr>
                <w:rFonts w:ascii="Times New Roman" w:hAnsi="Times New Roman" w:cs="Times New Roman"/>
                <w:sz w:val="24"/>
                <w:szCs w:val="24"/>
              </w:rPr>
            </w:pP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r w:rsidR="00CD6EA3" w:rsidRPr="008F142D" w:rsidTr="00397F87">
        <w:trPr>
          <w:jc w:val="center"/>
        </w:trPr>
        <w:sdt>
          <w:sdtPr>
            <w:rPr>
              <w:rFonts w:ascii="Times New Roman" w:hAnsi="Times New Roman" w:cs="Times New Roman"/>
              <w:sz w:val="24"/>
              <w:szCs w:val="24"/>
            </w:rPr>
            <w:id w:val="-1238394996"/>
            <w14:checkbox>
              <w14:checked w14:val="0"/>
              <w14:checkedState w14:val="2612" w14:font="MS Gothic"/>
              <w14:uncheckedState w14:val="2610" w14:font="MS Gothic"/>
            </w14:checkbox>
          </w:sdtPr>
          <w:sdtEndPr/>
          <w:sdtContent>
            <w:tc>
              <w:tcPr>
                <w:tcW w:w="290" w:type="pct"/>
                <w:vAlign w:val="center"/>
              </w:tcPr>
              <w:p w:rsidR="00CD6EA3" w:rsidRPr="008F142D" w:rsidRDefault="00CD6EA3" w:rsidP="00CD6EA3">
                <w:pPr>
                  <w:pStyle w:val="NoSpacing"/>
                  <w:jc w:val="both"/>
                  <w:rPr>
                    <w:rFonts w:ascii="Times New Roman" w:hAnsi="Times New Roman" w:cs="Times New Roman"/>
                    <w:sz w:val="24"/>
                    <w:szCs w:val="24"/>
                  </w:rPr>
                </w:pPr>
                <w:r w:rsidRPr="008F142D">
                  <w:rPr>
                    <w:rFonts w:ascii="Segoe UI Symbol" w:eastAsia="MS Gothic" w:hAnsi="Segoe UI Symbol" w:cs="Segoe UI Symbol"/>
                    <w:sz w:val="24"/>
                    <w:szCs w:val="24"/>
                  </w:rPr>
                  <w:t>☐</w:t>
                </w:r>
              </w:p>
            </w:tc>
          </w:sdtContent>
        </w:sdt>
        <w:tc>
          <w:tcPr>
            <w:tcW w:w="2877" w:type="pct"/>
            <w:shd w:val="clear" w:color="auto" w:fill="F2F2F2" w:themeFill="background1" w:themeFillShade="F2"/>
          </w:tcPr>
          <w:p w:rsidR="00CD6EA3" w:rsidRPr="008F142D" w:rsidRDefault="00CD6EA3" w:rsidP="00CD6EA3">
            <w:pPr>
              <w:pStyle w:val="NoSpacing"/>
              <w:jc w:val="both"/>
              <w:rPr>
                <w:rFonts w:ascii="Times New Roman" w:hAnsi="Times New Roman" w:cs="Times New Roman"/>
                <w:sz w:val="24"/>
                <w:szCs w:val="24"/>
                <w:u w:val="single"/>
              </w:rPr>
            </w:pPr>
            <w:r w:rsidRPr="008F142D">
              <w:rPr>
                <w:rFonts w:ascii="Times New Roman" w:hAnsi="Times New Roman" w:cs="Times New Roman"/>
                <w:sz w:val="24"/>
                <w:szCs w:val="24"/>
                <w:u w:val="single"/>
              </w:rPr>
              <w:t>9. Continuous Improvement</w:t>
            </w:r>
          </w:p>
          <w:p w:rsidR="00CD6EA3" w:rsidRPr="008F142D" w:rsidRDefault="00CD6EA3" w:rsidP="00CD6EA3">
            <w:pPr>
              <w:pStyle w:val="NoSpacing"/>
              <w:jc w:val="both"/>
              <w:rPr>
                <w:rFonts w:ascii="Times New Roman" w:hAnsi="Times New Roman" w:cs="Times New Roman"/>
                <w:sz w:val="24"/>
                <w:szCs w:val="24"/>
                <w:u w:val="single"/>
              </w:rPr>
            </w:pPr>
          </w:p>
          <w:p w:rsidR="00CD6EA3" w:rsidRPr="008F142D" w:rsidRDefault="00CD6EA3" w:rsidP="00CD6EA3">
            <w:pPr>
              <w:pStyle w:val="NoSpacing"/>
              <w:jc w:val="both"/>
              <w:rPr>
                <w:rFonts w:ascii="Times New Roman" w:hAnsi="Times New Roman" w:cs="Times New Roman"/>
                <w:sz w:val="24"/>
                <w:szCs w:val="24"/>
              </w:rPr>
            </w:pPr>
            <w:r w:rsidRPr="008F142D">
              <w:rPr>
                <w:rFonts w:ascii="Times New Roman" w:hAnsi="Times New Roman" w:cs="Times New Roman"/>
                <w:sz w:val="24"/>
                <w:szCs w:val="24"/>
              </w:rPr>
              <w:t xml:space="preserve">Programs of Study must be continually evaluated and improved upon in collaboration with stakeholders and advisory committees. What continuous improvement processes are in place to ensure this program of study continually meets the quality criteria and is resulting in equitable outcomes? Who is responsible? </w:t>
            </w:r>
          </w:p>
          <w:p w:rsidR="00CD6EA3" w:rsidRPr="008F142D" w:rsidRDefault="00CD6EA3" w:rsidP="00CD6EA3">
            <w:pPr>
              <w:pStyle w:val="NoSpacing"/>
              <w:jc w:val="both"/>
              <w:rPr>
                <w:rFonts w:ascii="Times New Roman" w:hAnsi="Times New Roman" w:cs="Times New Roman"/>
                <w:sz w:val="24"/>
                <w:szCs w:val="24"/>
              </w:rPr>
            </w:pPr>
          </w:p>
        </w:tc>
        <w:tc>
          <w:tcPr>
            <w:tcW w:w="1833" w:type="pct"/>
          </w:tcPr>
          <w:p w:rsidR="00CD6EA3" w:rsidRPr="008F142D" w:rsidRDefault="00CD6EA3" w:rsidP="00CD6EA3">
            <w:pPr>
              <w:pStyle w:val="NoSpacing"/>
              <w:rPr>
                <w:rFonts w:ascii="Times New Roman" w:hAnsi="Times New Roman" w:cs="Times New Roman"/>
                <w:sz w:val="24"/>
                <w:szCs w:val="24"/>
              </w:rPr>
            </w:pPr>
          </w:p>
        </w:tc>
      </w:tr>
    </w:tbl>
    <w:p w:rsidR="00963667" w:rsidRPr="008F142D" w:rsidRDefault="00963667" w:rsidP="008112BE">
      <w:pPr>
        <w:pStyle w:val="NoSpacing"/>
        <w:rPr>
          <w:rFonts w:ascii="Times New Roman" w:hAnsi="Times New Roman" w:cs="Times New Roman"/>
          <w:sz w:val="24"/>
          <w:szCs w:val="24"/>
        </w:rPr>
      </w:pPr>
    </w:p>
    <w:p w:rsidR="005E4031" w:rsidRPr="008F142D" w:rsidRDefault="005E4031" w:rsidP="008112BE">
      <w:pPr>
        <w:pStyle w:val="NoSpacing"/>
        <w:rPr>
          <w:rFonts w:ascii="Times New Roman" w:hAnsi="Times New Roman" w:cs="Times New Roman"/>
          <w:sz w:val="24"/>
          <w:szCs w:val="24"/>
        </w:rPr>
      </w:pPr>
    </w:p>
    <w:sectPr w:rsidR="005E4031" w:rsidRPr="008F142D" w:rsidSect="0096366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FC" w:rsidRDefault="00947CFC" w:rsidP="00283763">
      <w:pPr>
        <w:spacing w:after="0" w:line="240" w:lineRule="auto"/>
      </w:pPr>
      <w:r>
        <w:separator/>
      </w:r>
    </w:p>
  </w:endnote>
  <w:endnote w:type="continuationSeparator" w:id="0">
    <w:p w:rsidR="00947CFC" w:rsidRDefault="00947CFC" w:rsidP="0028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FC" w:rsidRDefault="00947CFC" w:rsidP="00283763">
      <w:pPr>
        <w:spacing w:after="0" w:line="240" w:lineRule="auto"/>
      </w:pPr>
      <w:r>
        <w:separator/>
      </w:r>
    </w:p>
  </w:footnote>
  <w:footnote w:type="continuationSeparator" w:id="0">
    <w:p w:rsidR="00947CFC" w:rsidRDefault="00947CFC" w:rsidP="0028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63" w:rsidRPr="00283763" w:rsidRDefault="00283763" w:rsidP="00283763">
    <w:pPr>
      <w:pStyle w:val="Header"/>
      <w:jc w:val="right"/>
      <w:rPr>
        <w:b/>
      </w:rPr>
    </w:pPr>
    <w:r w:rsidRPr="00283763">
      <w:rPr>
        <w:b/>
      </w:rPr>
      <w:t>Program of Study Approval Form</w:t>
    </w:r>
    <w:r w:rsidR="003C27DA">
      <w:rPr>
        <w:b/>
      </w:rPr>
      <w:t xml:space="preserve"> 5.15.20</w:t>
    </w:r>
  </w:p>
  <w:p w:rsidR="00283763" w:rsidRDefault="00283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99A"/>
    <w:multiLevelType w:val="hybridMultilevel"/>
    <w:tmpl w:val="317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92955"/>
    <w:multiLevelType w:val="hybridMultilevel"/>
    <w:tmpl w:val="D546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E66B8"/>
    <w:multiLevelType w:val="hybridMultilevel"/>
    <w:tmpl w:val="D36C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E067C"/>
    <w:multiLevelType w:val="hybridMultilevel"/>
    <w:tmpl w:val="D83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BE"/>
    <w:rsid w:val="0002198E"/>
    <w:rsid w:val="00082ADF"/>
    <w:rsid w:val="0018167D"/>
    <w:rsid w:val="00283763"/>
    <w:rsid w:val="00301D31"/>
    <w:rsid w:val="0039622C"/>
    <w:rsid w:val="00397F87"/>
    <w:rsid w:val="003C27DA"/>
    <w:rsid w:val="003F2C57"/>
    <w:rsid w:val="004213DB"/>
    <w:rsid w:val="004F26ED"/>
    <w:rsid w:val="005E4031"/>
    <w:rsid w:val="006016EE"/>
    <w:rsid w:val="00607899"/>
    <w:rsid w:val="006D6CE3"/>
    <w:rsid w:val="006E3FF8"/>
    <w:rsid w:val="00783DB3"/>
    <w:rsid w:val="00794B8C"/>
    <w:rsid w:val="007F2885"/>
    <w:rsid w:val="008075D5"/>
    <w:rsid w:val="008112BE"/>
    <w:rsid w:val="008E779E"/>
    <w:rsid w:val="008F142D"/>
    <w:rsid w:val="00926FCB"/>
    <w:rsid w:val="00947CFC"/>
    <w:rsid w:val="00963667"/>
    <w:rsid w:val="009B4D6B"/>
    <w:rsid w:val="009E7FD4"/>
    <w:rsid w:val="00BC3969"/>
    <w:rsid w:val="00CC33C1"/>
    <w:rsid w:val="00CD6EA3"/>
    <w:rsid w:val="00D75D3E"/>
    <w:rsid w:val="00E11A6B"/>
    <w:rsid w:val="00E22B8D"/>
    <w:rsid w:val="00E5530A"/>
    <w:rsid w:val="00E56396"/>
    <w:rsid w:val="00E67529"/>
    <w:rsid w:val="00F158E8"/>
    <w:rsid w:val="00F30175"/>
    <w:rsid w:val="00F8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1BB"/>
  <w15:chartTrackingRefBased/>
  <w15:docId w15:val="{C88D1430-B077-4E28-A0AA-EE9D6E0F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2BE"/>
    <w:pPr>
      <w:spacing w:after="0" w:line="240" w:lineRule="auto"/>
    </w:pPr>
  </w:style>
  <w:style w:type="table" w:styleId="TableGrid">
    <w:name w:val="Table Grid"/>
    <w:basedOn w:val="TableNormal"/>
    <w:uiPriority w:val="39"/>
    <w:rsid w:val="0096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763"/>
  </w:style>
  <w:style w:type="paragraph" w:styleId="Footer">
    <w:name w:val="footer"/>
    <w:basedOn w:val="Normal"/>
    <w:link w:val="FooterChar"/>
    <w:uiPriority w:val="99"/>
    <w:unhideWhenUsed/>
    <w:rsid w:val="0028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763"/>
  </w:style>
  <w:style w:type="character" w:styleId="CommentReference">
    <w:name w:val="annotation reference"/>
    <w:basedOn w:val="DefaultParagraphFont"/>
    <w:uiPriority w:val="99"/>
    <w:semiHidden/>
    <w:unhideWhenUsed/>
    <w:rsid w:val="008E779E"/>
    <w:rPr>
      <w:sz w:val="16"/>
      <w:szCs w:val="16"/>
    </w:rPr>
  </w:style>
  <w:style w:type="paragraph" w:styleId="CommentText">
    <w:name w:val="annotation text"/>
    <w:basedOn w:val="Normal"/>
    <w:link w:val="CommentTextChar"/>
    <w:uiPriority w:val="99"/>
    <w:semiHidden/>
    <w:unhideWhenUsed/>
    <w:rsid w:val="008E779E"/>
    <w:pPr>
      <w:spacing w:line="240" w:lineRule="auto"/>
    </w:pPr>
    <w:rPr>
      <w:sz w:val="20"/>
      <w:szCs w:val="20"/>
    </w:rPr>
  </w:style>
  <w:style w:type="character" w:customStyle="1" w:styleId="CommentTextChar">
    <w:name w:val="Comment Text Char"/>
    <w:basedOn w:val="DefaultParagraphFont"/>
    <w:link w:val="CommentText"/>
    <w:uiPriority w:val="99"/>
    <w:semiHidden/>
    <w:rsid w:val="008E779E"/>
    <w:rPr>
      <w:sz w:val="20"/>
      <w:szCs w:val="20"/>
    </w:rPr>
  </w:style>
  <w:style w:type="paragraph" w:styleId="CommentSubject">
    <w:name w:val="annotation subject"/>
    <w:basedOn w:val="CommentText"/>
    <w:next w:val="CommentText"/>
    <w:link w:val="CommentSubjectChar"/>
    <w:uiPriority w:val="99"/>
    <w:semiHidden/>
    <w:unhideWhenUsed/>
    <w:rsid w:val="008E779E"/>
    <w:rPr>
      <w:b/>
      <w:bCs/>
    </w:rPr>
  </w:style>
  <w:style w:type="character" w:customStyle="1" w:styleId="CommentSubjectChar">
    <w:name w:val="Comment Subject Char"/>
    <w:basedOn w:val="CommentTextChar"/>
    <w:link w:val="CommentSubject"/>
    <w:uiPriority w:val="99"/>
    <w:semiHidden/>
    <w:rsid w:val="008E779E"/>
    <w:rPr>
      <w:b/>
      <w:bCs/>
      <w:sz w:val="20"/>
      <w:szCs w:val="20"/>
    </w:rPr>
  </w:style>
  <w:style w:type="paragraph" w:styleId="BalloonText">
    <w:name w:val="Balloon Text"/>
    <w:basedOn w:val="Normal"/>
    <w:link w:val="BalloonTextChar"/>
    <w:uiPriority w:val="99"/>
    <w:semiHidden/>
    <w:unhideWhenUsed/>
    <w:rsid w:val="008E7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79E"/>
    <w:rPr>
      <w:rFonts w:ascii="Segoe UI" w:hAnsi="Segoe UI" w:cs="Segoe UI"/>
      <w:sz w:val="18"/>
      <w:szCs w:val="18"/>
    </w:rPr>
  </w:style>
  <w:style w:type="character" w:styleId="Hyperlink">
    <w:name w:val="Hyperlink"/>
    <w:basedOn w:val="DefaultParagraphFont"/>
    <w:uiPriority w:val="99"/>
    <w:unhideWhenUsed/>
    <w:rsid w:val="00601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b.org/cte/perkins-v-state-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e@iccb.state.il.us" TargetMode="External"/><Relationship Id="rId4" Type="http://schemas.openxmlformats.org/officeDocument/2006/relationships/settings" Target="settings.xml"/><Relationship Id="rId9" Type="http://schemas.openxmlformats.org/officeDocument/2006/relationships/hyperlink" Target="mailto:cte@iccb.state.i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EB1D-91E0-4DE2-AD90-5E1D5DDB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Allan</dc:creator>
  <cp:keywords/>
  <dc:description/>
  <cp:lastModifiedBy>Natasha Allan</cp:lastModifiedBy>
  <cp:revision>2</cp:revision>
  <dcterms:created xsi:type="dcterms:W3CDTF">2020-05-15T20:28:00Z</dcterms:created>
  <dcterms:modified xsi:type="dcterms:W3CDTF">2020-05-15T20:28:00Z</dcterms:modified>
</cp:coreProperties>
</file>