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CEA" w:rsidRPr="00085CEA" w:rsidRDefault="00085CEA" w:rsidP="00085CEA">
      <w:pPr>
        <w:pStyle w:val="NoSpacing"/>
        <w:rPr>
          <w:rFonts w:asciiTheme="majorHAnsi" w:hAnsiTheme="majorHAnsi"/>
          <w:i/>
          <w:sz w:val="24"/>
          <w:szCs w:val="24"/>
        </w:rPr>
      </w:pPr>
      <w:r w:rsidRPr="00085CEA">
        <w:rPr>
          <w:rFonts w:asciiTheme="majorHAnsi" w:hAnsiTheme="majorHAnsi"/>
          <w:i/>
          <w:sz w:val="24"/>
          <w:szCs w:val="24"/>
        </w:rPr>
        <w:t>Perkins specific:</w:t>
      </w:r>
    </w:p>
    <w:p w:rsidR="00085CEA" w:rsidRPr="00085CEA" w:rsidRDefault="00085CEA" w:rsidP="00085CEA">
      <w:pPr>
        <w:pStyle w:val="NoSpacing"/>
        <w:rPr>
          <w:rFonts w:asciiTheme="majorHAnsi" w:hAnsiTheme="majorHAnsi"/>
          <w:sz w:val="24"/>
          <w:szCs w:val="24"/>
        </w:rPr>
      </w:pPr>
    </w:p>
    <w:p w:rsidR="001A7C07" w:rsidRDefault="00081E43" w:rsidP="002D351B">
      <w:pPr>
        <w:pStyle w:val="NoSpacing"/>
        <w:numPr>
          <w:ilvl w:val="0"/>
          <w:numId w:val="1"/>
        </w:numPr>
        <w:rPr>
          <w:rFonts w:asciiTheme="majorHAnsi" w:hAnsiTheme="majorHAnsi"/>
          <w:sz w:val="24"/>
          <w:szCs w:val="24"/>
        </w:rPr>
      </w:pPr>
      <w:r w:rsidRPr="002D351B">
        <w:rPr>
          <w:rFonts w:asciiTheme="majorHAnsi" w:hAnsiTheme="majorHAnsi"/>
          <w:b/>
          <w:sz w:val="24"/>
          <w:szCs w:val="24"/>
        </w:rPr>
        <w:t>The Final Fiscal Report is due on October 15; do we have to complete the budget portion of the Final Narrative Report, as well?</w:t>
      </w:r>
    </w:p>
    <w:p w:rsidR="00081E43" w:rsidRDefault="00081E43" w:rsidP="002D351B">
      <w:pPr>
        <w:pStyle w:val="NoSpacing"/>
        <w:ind w:left="720"/>
        <w:rPr>
          <w:rFonts w:asciiTheme="majorHAnsi" w:hAnsiTheme="majorHAnsi"/>
          <w:sz w:val="24"/>
          <w:szCs w:val="24"/>
        </w:rPr>
      </w:pPr>
      <w:r>
        <w:rPr>
          <w:rFonts w:asciiTheme="majorHAnsi" w:hAnsiTheme="majorHAnsi"/>
          <w:sz w:val="24"/>
          <w:szCs w:val="24"/>
        </w:rPr>
        <w:t>Yes. The two are different documents with different reporting requirements. Complete the entirety of the Final Narrative Report.</w:t>
      </w:r>
    </w:p>
    <w:p w:rsidR="007101AA" w:rsidRDefault="007101AA" w:rsidP="002D351B">
      <w:pPr>
        <w:pStyle w:val="NoSpacing"/>
        <w:ind w:left="720"/>
        <w:rPr>
          <w:rFonts w:asciiTheme="majorHAnsi" w:hAnsiTheme="majorHAnsi"/>
          <w:sz w:val="24"/>
          <w:szCs w:val="24"/>
        </w:rPr>
      </w:pPr>
    </w:p>
    <w:p w:rsidR="007101AA" w:rsidRPr="00C50CD4" w:rsidRDefault="007101AA" w:rsidP="007101AA">
      <w:pPr>
        <w:pStyle w:val="NoSpacing"/>
        <w:numPr>
          <w:ilvl w:val="0"/>
          <w:numId w:val="1"/>
        </w:numPr>
        <w:rPr>
          <w:rFonts w:asciiTheme="majorHAnsi" w:hAnsiTheme="majorHAnsi"/>
          <w:sz w:val="24"/>
          <w:szCs w:val="24"/>
        </w:rPr>
      </w:pPr>
      <w:r>
        <w:rPr>
          <w:rFonts w:asciiTheme="majorHAnsi" w:hAnsiTheme="majorHAnsi"/>
          <w:b/>
          <w:sz w:val="24"/>
          <w:szCs w:val="24"/>
        </w:rPr>
        <w:t>What year is used to calculate Pell count?</w:t>
      </w:r>
    </w:p>
    <w:p w:rsidR="007101AA" w:rsidRDefault="007101AA" w:rsidP="007101AA">
      <w:pPr>
        <w:pStyle w:val="NoSpacing"/>
        <w:ind w:left="720"/>
        <w:rPr>
          <w:rFonts w:asciiTheme="majorHAnsi" w:hAnsiTheme="majorHAnsi"/>
          <w:sz w:val="24"/>
          <w:szCs w:val="24"/>
        </w:rPr>
      </w:pPr>
      <w:r>
        <w:rPr>
          <w:rFonts w:asciiTheme="majorHAnsi" w:hAnsiTheme="majorHAnsi"/>
          <w:sz w:val="24"/>
          <w:szCs w:val="24"/>
        </w:rPr>
        <w:t>Pell count is calculated using the data from two years prior. For FY2017, the year used will be FY2015.</w:t>
      </w:r>
    </w:p>
    <w:p w:rsidR="002163FA" w:rsidRPr="00C207AE" w:rsidRDefault="002163FA" w:rsidP="007101AA">
      <w:pPr>
        <w:pStyle w:val="NoSpacing"/>
        <w:ind w:left="720"/>
        <w:rPr>
          <w:rFonts w:asciiTheme="majorHAnsi" w:hAnsiTheme="majorHAnsi"/>
          <w:sz w:val="24"/>
          <w:szCs w:val="24"/>
        </w:rPr>
      </w:pPr>
    </w:p>
    <w:p w:rsidR="007101AA" w:rsidRDefault="007101AA" w:rsidP="007101AA">
      <w:pPr>
        <w:pStyle w:val="NoSpacing"/>
        <w:numPr>
          <w:ilvl w:val="0"/>
          <w:numId w:val="1"/>
        </w:numPr>
        <w:rPr>
          <w:rFonts w:asciiTheme="majorHAnsi" w:hAnsiTheme="majorHAnsi"/>
          <w:sz w:val="24"/>
          <w:szCs w:val="24"/>
        </w:rPr>
      </w:pPr>
      <w:r>
        <w:rPr>
          <w:rFonts w:asciiTheme="majorHAnsi" w:hAnsiTheme="majorHAnsi"/>
          <w:b/>
          <w:sz w:val="24"/>
          <w:szCs w:val="24"/>
        </w:rPr>
        <w:t>What falls under general administration?</w:t>
      </w:r>
    </w:p>
    <w:p w:rsidR="00C50CD4" w:rsidRDefault="00085CEA" w:rsidP="002D351B">
      <w:pPr>
        <w:pStyle w:val="NoSpacing"/>
        <w:ind w:left="720"/>
        <w:rPr>
          <w:rFonts w:asciiTheme="majorHAnsi" w:hAnsiTheme="majorHAnsi"/>
          <w:sz w:val="24"/>
          <w:szCs w:val="24"/>
        </w:rPr>
      </w:pPr>
      <w:r w:rsidRPr="00085CEA">
        <w:rPr>
          <w:rFonts w:asciiTheme="majorHAnsi" w:hAnsiTheme="majorHAnsi"/>
          <w:sz w:val="24"/>
          <w:szCs w:val="24"/>
        </w:rPr>
        <w:t>General Administration refers to organized administrative activities that provide assistance and support to CTE students, including activities specifically designed to provide administrative or managerial support for CTE programs and any special services provided for CTE students.</w:t>
      </w:r>
    </w:p>
    <w:p w:rsidR="00085CEA" w:rsidRDefault="00085CEA" w:rsidP="00085CEA">
      <w:pPr>
        <w:pStyle w:val="NoSpacing"/>
        <w:rPr>
          <w:rFonts w:asciiTheme="majorHAnsi" w:hAnsiTheme="majorHAnsi"/>
          <w:sz w:val="24"/>
          <w:szCs w:val="24"/>
        </w:rPr>
      </w:pPr>
    </w:p>
    <w:p w:rsidR="00085CEA" w:rsidRPr="00085CEA" w:rsidRDefault="00085CEA" w:rsidP="00085CEA">
      <w:pPr>
        <w:pStyle w:val="NoSpacing"/>
        <w:rPr>
          <w:rFonts w:asciiTheme="majorHAnsi" w:hAnsiTheme="majorHAnsi"/>
          <w:i/>
          <w:sz w:val="24"/>
          <w:szCs w:val="24"/>
        </w:rPr>
      </w:pPr>
      <w:r w:rsidRPr="00085CEA">
        <w:rPr>
          <w:rFonts w:asciiTheme="majorHAnsi" w:hAnsiTheme="majorHAnsi"/>
          <w:i/>
          <w:sz w:val="24"/>
          <w:szCs w:val="24"/>
        </w:rPr>
        <w:t>WIOA specific:</w:t>
      </w:r>
    </w:p>
    <w:p w:rsidR="00085CEA" w:rsidRDefault="00085CEA" w:rsidP="00085CEA">
      <w:pPr>
        <w:pStyle w:val="NoSpacing"/>
        <w:rPr>
          <w:rFonts w:asciiTheme="majorHAnsi" w:hAnsiTheme="majorHAnsi"/>
          <w:sz w:val="24"/>
          <w:szCs w:val="24"/>
        </w:rPr>
      </w:pPr>
    </w:p>
    <w:p w:rsidR="00EA5223" w:rsidRDefault="00EA5223" w:rsidP="002D351B">
      <w:pPr>
        <w:pStyle w:val="NoSpacing"/>
        <w:numPr>
          <w:ilvl w:val="0"/>
          <w:numId w:val="1"/>
        </w:numPr>
        <w:rPr>
          <w:rFonts w:asciiTheme="majorHAnsi" w:hAnsiTheme="majorHAnsi"/>
          <w:sz w:val="24"/>
          <w:szCs w:val="24"/>
        </w:rPr>
      </w:pPr>
      <w:r w:rsidRPr="002D351B">
        <w:rPr>
          <w:rFonts w:asciiTheme="majorHAnsi" w:hAnsiTheme="majorHAnsi"/>
          <w:b/>
          <w:sz w:val="24"/>
          <w:szCs w:val="24"/>
        </w:rPr>
        <w:t>What does it mean to have services “on demand”? What are examples of how this requirement can be fulfilled?</w:t>
      </w:r>
      <w:r w:rsidRPr="00EA5223">
        <w:rPr>
          <w:rFonts w:asciiTheme="majorHAnsi" w:hAnsiTheme="majorHAnsi"/>
          <w:sz w:val="24"/>
          <w:szCs w:val="24"/>
        </w:rPr>
        <w:t xml:space="preserve"> </w:t>
      </w:r>
    </w:p>
    <w:p w:rsidR="002D351B" w:rsidRDefault="007101AA" w:rsidP="007101AA">
      <w:pPr>
        <w:pStyle w:val="NoSpacing"/>
        <w:ind w:left="720"/>
        <w:rPr>
          <w:rFonts w:asciiTheme="majorHAnsi" w:hAnsiTheme="majorHAnsi"/>
          <w:sz w:val="24"/>
          <w:szCs w:val="24"/>
        </w:rPr>
      </w:pPr>
      <w:r w:rsidRPr="007101AA">
        <w:rPr>
          <w:rFonts w:asciiTheme="majorHAnsi" w:hAnsiTheme="majorHAnsi"/>
          <w:sz w:val="24"/>
          <w:szCs w:val="24"/>
        </w:rPr>
        <w:t>This access can be provided in one of three va</w:t>
      </w:r>
      <w:r w:rsidR="00085CEA">
        <w:rPr>
          <w:rFonts w:asciiTheme="majorHAnsi" w:hAnsiTheme="majorHAnsi"/>
          <w:sz w:val="24"/>
          <w:szCs w:val="24"/>
        </w:rPr>
        <w:t xml:space="preserve">riations of physically present </w:t>
      </w:r>
      <w:r w:rsidRPr="007101AA">
        <w:rPr>
          <w:rFonts w:asciiTheme="majorHAnsi" w:hAnsiTheme="majorHAnsi"/>
          <w:sz w:val="24"/>
          <w:szCs w:val="24"/>
        </w:rPr>
        <w:t>staff or through technology: (1) program staff physically present at the location; (2) staff physically present at the one-stop from any partner program appropriately trained to provide information to customers;</w:t>
      </w:r>
      <w:r w:rsidR="00085CEA">
        <w:rPr>
          <w:rFonts w:asciiTheme="majorHAnsi" w:hAnsiTheme="majorHAnsi"/>
          <w:sz w:val="24"/>
          <w:szCs w:val="24"/>
        </w:rPr>
        <w:t xml:space="preserve"> or</w:t>
      </w:r>
      <w:r w:rsidRPr="007101AA">
        <w:rPr>
          <w:rFonts w:asciiTheme="majorHAnsi" w:hAnsiTheme="majorHAnsi"/>
          <w:sz w:val="24"/>
          <w:szCs w:val="24"/>
        </w:rPr>
        <w:t xml:space="preserve"> </w:t>
      </w:r>
      <w:r w:rsidR="00085CEA">
        <w:rPr>
          <w:rFonts w:asciiTheme="majorHAnsi" w:hAnsiTheme="majorHAnsi"/>
          <w:sz w:val="24"/>
          <w:szCs w:val="24"/>
        </w:rPr>
        <w:t xml:space="preserve">(3) </w:t>
      </w:r>
      <w:r w:rsidRPr="007101AA">
        <w:rPr>
          <w:rFonts w:asciiTheme="majorHAnsi" w:hAnsiTheme="majorHAnsi"/>
          <w:sz w:val="24"/>
          <w:szCs w:val="24"/>
        </w:rPr>
        <w:t>providing direct linkage through technology to someone who can either p</w:t>
      </w:r>
      <w:r w:rsidR="00085CEA">
        <w:rPr>
          <w:rFonts w:asciiTheme="majorHAnsi" w:hAnsiTheme="majorHAnsi"/>
          <w:sz w:val="24"/>
          <w:szCs w:val="24"/>
        </w:rPr>
        <w:t xml:space="preserve">rovide the program services, </w:t>
      </w:r>
      <w:r w:rsidRPr="007101AA">
        <w:rPr>
          <w:rFonts w:asciiTheme="majorHAnsi" w:hAnsiTheme="majorHAnsi"/>
          <w:sz w:val="24"/>
          <w:szCs w:val="24"/>
        </w:rPr>
        <w:t>information such as how to apply for the program, or how to begin to receive services.</w:t>
      </w:r>
      <w:r w:rsidR="00085CEA">
        <w:rPr>
          <w:rFonts w:asciiTheme="majorHAnsi" w:hAnsiTheme="majorHAnsi"/>
          <w:sz w:val="24"/>
          <w:szCs w:val="24"/>
        </w:rPr>
        <w:t xml:space="preserve"> </w:t>
      </w:r>
      <w:proofErr w:type="gramStart"/>
      <w:r w:rsidR="00085CEA">
        <w:rPr>
          <w:rFonts w:asciiTheme="majorHAnsi" w:hAnsiTheme="majorHAnsi"/>
          <w:sz w:val="24"/>
          <w:szCs w:val="24"/>
        </w:rPr>
        <w:t>Example of (3) are</w:t>
      </w:r>
      <w:proofErr w:type="gramEnd"/>
      <w:r w:rsidR="00085CEA">
        <w:rPr>
          <w:rFonts w:asciiTheme="majorHAnsi" w:hAnsiTheme="majorHAnsi"/>
          <w:sz w:val="24"/>
          <w:szCs w:val="24"/>
        </w:rPr>
        <w:t xml:space="preserve"> using the telephone and/or Skype.</w:t>
      </w:r>
    </w:p>
    <w:p w:rsidR="002163FA" w:rsidRPr="007101AA" w:rsidRDefault="002163FA" w:rsidP="007101AA">
      <w:pPr>
        <w:pStyle w:val="NoSpacing"/>
        <w:ind w:left="720"/>
        <w:rPr>
          <w:rFonts w:asciiTheme="majorHAnsi" w:hAnsiTheme="majorHAnsi"/>
          <w:sz w:val="24"/>
          <w:szCs w:val="24"/>
        </w:rPr>
      </w:pPr>
    </w:p>
    <w:p w:rsidR="00EA5223" w:rsidRDefault="00EA5223" w:rsidP="002D351B">
      <w:pPr>
        <w:pStyle w:val="NoSpacing"/>
        <w:numPr>
          <w:ilvl w:val="0"/>
          <w:numId w:val="1"/>
        </w:numPr>
        <w:rPr>
          <w:rFonts w:asciiTheme="majorHAnsi" w:hAnsiTheme="majorHAnsi"/>
          <w:b/>
          <w:sz w:val="24"/>
          <w:szCs w:val="24"/>
        </w:rPr>
      </w:pPr>
      <w:r w:rsidRPr="002D351B">
        <w:rPr>
          <w:rFonts w:asciiTheme="majorHAnsi" w:hAnsiTheme="majorHAnsi"/>
          <w:b/>
          <w:sz w:val="24"/>
          <w:szCs w:val="24"/>
        </w:rPr>
        <w:t>What is the protocol for a community college that resides in two districts?</w:t>
      </w:r>
    </w:p>
    <w:p w:rsidR="002D351B" w:rsidRDefault="007101AA" w:rsidP="007101AA">
      <w:pPr>
        <w:pStyle w:val="NoSpacing"/>
        <w:ind w:left="720"/>
        <w:rPr>
          <w:rFonts w:asciiTheme="majorHAnsi" w:hAnsiTheme="majorHAnsi"/>
          <w:sz w:val="24"/>
          <w:szCs w:val="24"/>
        </w:rPr>
      </w:pPr>
      <w:r w:rsidRPr="007101AA">
        <w:rPr>
          <w:rFonts w:asciiTheme="majorHAnsi" w:hAnsiTheme="majorHAnsi"/>
          <w:sz w:val="24"/>
          <w:szCs w:val="24"/>
        </w:rPr>
        <w:t>Based upon whether a community college is at least 50% in two LWIAs or clearly more than 50% in one LWIA: ICCB recommended which LWIA community colleges should be in for purposes of infrastructure/shared systems costs, and for entering into an MOU for one Comprehensive One-Stop Center.</w:t>
      </w:r>
    </w:p>
    <w:p w:rsidR="002163FA" w:rsidRPr="00EA5223" w:rsidRDefault="002163FA" w:rsidP="007101AA">
      <w:pPr>
        <w:pStyle w:val="NoSpacing"/>
        <w:ind w:left="720"/>
        <w:rPr>
          <w:rFonts w:asciiTheme="majorHAnsi" w:hAnsiTheme="majorHAnsi"/>
          <w:sz w:val="24"/>
          <w:szCs w:val="24"/>
        </w:rPr>
      </w:pPr>
      <w:bookmarkStart w:id="0" w:name="_GoBack"/>
      <w:bookmarkEnd w:id="0"/>
    </w:p>
    <w:p w:rsidR="00081E43" w:rsidRPr="00C50CD4" w:rsidRDefault="00EA5223" w:rsidP="002D351B">
      <w:pPr>
        <w:pStyle w:val="NoSpacing"/>
        <w:numPr>
          <w:ilvl w:val="0"/>
          <w:numId w:val="1"/>
        </w:numPr>
        <w:rPr>
          <w:rFonts w:asciiTheme="majorHAnsi" w:hAnsiTheme="majorHAnsi"/>
          <w:sz w:val="24"/>
          <w:szCs w:val="24"/>
        </w:rPr>
      </w:pPr>
      <w:r w:rsidRPr="002D351B">
        <w:rPr>
          <w:rFonts w:asciiTheme="majorHAnsi" w:hAnsiTheme="majorHAnsi"/>
          <w:b/>
          <w:sz w:val="24"/>
          <w:szCs w:val="24"/>
        </w:rPr>
        <w:t>What is meant by the term “affiliate”?</w:t>
      </w:r>
    </w:p>
    <w:p w:rsidR="007101AA" w:rsidRDefault="007101AA" w:rsidP="007101AA">
      <w:pPr>
        <w:pStyle w:val="NoSpacing"/>
        <w:ind w:left="720"/>
        <w:rPr>
          <w:rFonts w:asciiTheme="majorHAnsi" w:hAnsiTheme="majorHAnsi"/>
          <w:sz w:val="24"/>
          <w:szCs w:val="24"/>
        </w:rPr>
      </w:pPr>
      <w:r>
        <w:rPr>
          <w:rFonts w:asciiTheme="majorHAnsi" w:hAnsiTheme="majorHAnsi"/>
          <w:sz w:val="24"/>
          <w:szCs w:val="24"/>
        </w:rPr>
        <w:t>An affiliate is defined as: a</w:t>
      </w:r>
      <w:r w:rsidRPr="007101AA">
        <w:rPr>
          <w:rFonts w:asciiTheme="majorHAnsi" w:hAnsiTheme="majorHAnsi"/>
          <w:sz w:val="24"/>
          <w:szCs w:val="24"/>
        </w:rPr>
        <w:t xml:space="preserve"> location that makes available one or more of the required or optional programs, services, </w:t>
      </w:r>
      <w:r>
        <w:rPr>
          <w:rFonts w:asciiTheme="majorHAnsi" w:hAnsiTheme="majorHAnsi"/>
          <w:sz w:val="24"/>
          <w:szCs w:val="24"/>
        </w:rPr>
        <w:t>and activities to individuals. T</w:t>
      </w:r>
      <w:r w:rsidRPr="007101AA">
        <w:rPr>
          <w:rFonts w:asciiTheme="majorHAnsi" w:hAnsiTheme="majorHAnsi"/>
          <w:sz w:val="24"/>
          <w:szCs w:val="24"/>
        </w:rPr>
        <w:t>he one-stop delivery s</w:t>
      </w:r>
      <w:r>
        <w:rPr>
          <w:rFonts w:asciiTheme="majorHAnsi" w:hAnsiTheme="majorHAnsi"/>
          <w:sz w:val="24"/>
          <w:szCs w:val="24"/>
        </w:rPr>
        <w:t>ystem may also provide programs</w:t>
      </w:r>
      <w:r w:rsidRPr="007101AA">
        <w:rPr>
          <w:rFonts w:asciiTheme="majorHAnsi" w:hAnsiTheme="majorHAnsi"/>
          <w:sz w:val="24"/>
          <w:szCs w:val="24"/>
        </w:rPr>
        <w:t>, services</w:t>
      </w:r>
      <w:r>
        <w:rPr>
          <w:rFonts w:asciiTheme="majorHAnsi" w:hAnsiTheme="majorHAnsi"/>
          <w:sz w:val="24"/>
          <w:szCs w:val="24"/>
        </w:rPr>
        <w:t>,</w:t>
      </w:r>
      <w:r w:rsidRPr="007101AA">
        <w:rPr>
          <w:rFonts w:asciiTheme="majorHAnsi" w:hAnsiTheme="majorHAnsi"/>
          <w:sz w:val="24"/>
          <w:szCs w:val="24"/>
        </w:rPr>
        <w:t xml:space="preserve"> and activities through affiliated sites or through a network of eligible one-stop partners that provide at least one or more of the programs, services, and activities at a physical location or through an electronically or technologically linked access point, such as a library.</w:t>
      </w:r>
    </w:p>
    <w:p w:rsidR="007101AA" w:rsidRDefault="007101AA" w:rsidP="007101AA">
      <w:pPr>
        <w:pStyle w:val="NoSpacing"/>
        <w:ind w:left="720"/>
        <w:rPr>
          <w:rFonts w:asciiTheme="majorHAnsi" w:hAnsiTheme="majorHAnsi"/>
          <w:sz w:val="24"/>
          <w:szCs w:val="24"/>
        </w:rPr>
      </w:pPr>
    </w:p>
    <w:p w:rsidR="00C207AE" w:rsidRPr="00C50CD4" w:rsidRDefault="00C207AE" w:rsidP="007101AA">
      <w:pPr>
        <w:pStyle w:val="NoSpacing"/>
        <w:rPr>
          <w:rFonts w:asciiTheme="majorHAnsi" w:hAnsiTheme="majorHAnsi"/>
          <w:sz w:val="24"/>
          <w:szCs w:val="24"/>
        </w:rPr>
      </w:pPr>
    </w:p>
    <w:p w:rsidR="00C50CD4" w:rsidRPr="00081E43" w:rsidRDefault="00C50CD4" w:rsidP="00C50CD4">
      <w:pPr>
        <w:pStyle w:val="NoSpacing"/>
        <w:ind w:left="720"/>
        <w:rPr>
          <w:rFonts w:asciiTheme="majorHAnsi" w:hAnsiTheme="majorHAnsi"/>
          <w:sz w:val="24"/>
          <w:szCs w:val="24"/>
        </w:rPr>
      </w:pPr>
    </w:p>
    <w:sectPr w:rsidR="00C50CD4" w:rsidRPr="00081E4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236" w:rsidRDefault="00967236" w:rsidP="00085CEA">
      <w:pPr>
        <w:spacing w:after="0" w:line="240" w:lineRule="auto"/>
      </w:pPr>
      <w:r>
        <w:separator/>
      </w:r>
    </w:p>
  </w:endnote>
  <w:endnote w:type="continuationSeparator" w:id="0">
    <w:p w:rsidR="00967236" w:rsidRDefault="00967236" w:rsidP="00085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236" w:rsidRDefault="00967236" w:rsidP="00085CEA">
      <w:pPr>
        <w:spacing w:after="0" w:line="240" w:lineRule="auto"/>
      </w:pPr>
      <w:r>
        <w:separator/>
      </w:r>
    </w:p>
  </w:footnote>
  <w:footnote w:type="continuationSeparator" w:id="0">
    <w:p w:rsidR="00967236" w:rsidRDefault="00967236" w:rsidP="00085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1B17F7845FDE40CD9B886E3C241F7739"/>
      </w:placeholder>
      <w:dataBinding w:prefixMappings="xmlns:ns0='http://schemas.openxmlformats.org/package/2006/metadata/core-properties' xmlns:ns1='http://purl.org/dc/elements/1.1/'" w:xpath="/ns0:coreProperties[1]/ns1:title[1]" w:storeItemID="{6C3C8BC8-F283-45AE-878A-BAB7291924A1}"/>
      <w:text/>
    </w:sdtPr>
    <w:sdtEndPr/>
    <w:sdtContent>
      <w:p w:rsidR="00085CEA" w:rsidRDefault="00085CE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FY2017 Perkins Guidelines FAQ</w:t>
        </w:r>
      </w:p>
    </w:sdtContent>
  </w:sdt>
  <w:p w:rsidR="00085CEA" w:rsidRDefault="00085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C61BB"/>
    <w:multiLevelType w:val="hybridMultilevel"/>
    <w:tmpl w:val="ECE82340"/>
    <w:lvl w:ilvl="0" w:tplc="B88C8A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43"/>
    <w:rsid w:val="00081E43"/>
    <w:rsid w:val="00085CEA"/>
    <w:rsid w:val="001B5B80"/>
    <w:rsid w:val="002163FA"/>
    <w:rsid w:val="002D351B"/>
    <w:rsid w:val="007101AA"/>
    <w:rsid w:val="00967236"/>
    <w:rsid w:val="00996CB6"/>
    <w:rsid w:val="00BB797D"/>
    <w:rsid w:val="00C207AE"/>
    <w:rsid w:val="00C50CD4"/>
    <w:rsid w:val="00DF7E1C"/>
    <w:rsid w:val="00EA5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E43"/>
    <w:pPr>
      <w:spacing w:after="0" w:line="240" w:lineRule="auto"/>
    </w:pPr>
  </w:style>
  <w:style w:type="paragraph" w:styleId="Header">
    <w:name w:val="header"/>
    <w:basedOn w:val="Normal"/>
    <w:link w:val="HeaderChar"/>
    <w:uiPriority w:val="99"/>
    <w:unhideWhenUsed/>
    <w:rsid w:val="00085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CEA"/>
  </w:style>
  <w:style w:type="paragraph" w:styleId="Footer">
    <w:name w:val="footer"/>
    <w:basedOn w:val="Normal"/>
    <w:link w:val="FooterChar"/>
    <w:uiPriority w:val="99"/>
    <w:unhideWhenUsed/>
    <w:rsid w:val="00085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CEA"/>
  </w:style>
  <w:style w:type="paragraph" w:styleId="BalloonText">
    <w:name w:val="Balloon Text"/>
    <w:basedOn w:val="Normal"/>
    <w:link w:val="BalloonTextChar"/>
    <w:uiPriority w:val="99"/>
    <w:semiHidden/>
    <w:unhideWhenUsed/>
    <w:rsid w:val="00085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E43"/>
    <w:pPr>
      <w:spacing w:after="0" w:line="240" w:lineRule="auto"/>
    </w:pPr>
  </w:style>
  <w:style w:type="paragraph" w:styleId="Header">
    <w:name w:val="header"/>
    <w:basedOn w:val="Normal"/>
    <w:link w:val="HeaderChar"/>
    <w:uiPriority w:val="99"/>
    <w:unhideWhenUsed/>
    <w:rsid w:val="00085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CEA"/>
  </w:style>
  <w:style w:type="paragraph" w:styleId="Footer">
    <w:name w:val="footer"/>
    <w:basedOn w:val="Normal"/>
    <w:link w:val="FooterChar"/>
    <w:uiPriority w:val="99"/>
    <w:unhideWhenUsed/>
    <w:rsid w:val="00085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CEA"/>
  </w:style>
  <w:style w:type="paragraph" w:styleId="BalloonText">
    <w:name w:val="Balloon Text"/>
    <w:basedOn w:val="Normal"/>
    <w:link w:val="BalloonTextChar"/>
    <w:uiPriority w:val="99"/>
    <w:semiHidden/>
    <w:unhideWhenUsed/>
    <w:rsid w:val="00085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26424">
      <w:bodyDiv w:val="1"/>
      <w:marLeft w:val="0"/>
      <w:marRight w:val="0"/>
      <w:marTop w:val="0"/>
      <w:marBottom w:val="0"/>
      <w:divBdr>
        <w:top w:val="none" w:sz="0" w:space="0" w:color="auto"/>
        <w:left w:val="none" w:sz="0" w:space="0" w:color="auto"/>
        <w:bottom w:val="none" w:sz="0" w:space="0" w:color="auto"/>
        <w:right w:val="none" w:sz="0" w:space="0" w:color="auto"/>
      </w:divBdr>
    </w:div>
    <w:div w:id="733771753">
      <w:bodyDiv w:val="1"/>
      <w:marLeft w:val="0"/>
      <w:marRight w:val="0"/>
      <w:marTop w:val="0"/>
      <w:marBottom w:val="0"/>
      <w:divBdr>
        <w:top w:val="none" w:sz="0" w:space="0" w:color="auto"/>
        <w:left w:val="none" w:sz="0" w:space="0" w:color="auto"/>
        <w:bottom w:val="none" w:sz="0" w:space="0" w:color="auto"/>
        <w:right w:val="none" w:sz="0" w:space="0" w:color="auto"/>
      </w:divBdr>
    </w:div>
    <w:div w:id="121662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17F7845FDE40CD9B886E3C241F7739"/>
        <w:category>
          <w:name w:val="General"/>
          <w:gallery w:val="placeholder"/>
        </w:category>
        <w:types>
          <w:type w:val="bbPlcHdr"/>
        </w:types>
        <w:behaviors>
          <w:behavior w:val="content"/>
        </w:behaviors>
        <w:guid w:val="{2A5CA1D9-F81E-4B8E-A8A9-DC2A9F7CC920}"/>
      </w:docPartPr>
      <w:docPartBody>
        <w:p w:rsidR="00337A6A" w:rsidRDefault="00FB0272" w:rsidP="00FB0272">
          <w:pPr>
            <w:pStyle w:val="1B17F7845FDE40CD9B886E3C241F773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72"/>
    <w:rsid w:val="00337A6A"/>
    <w:rsid w:val="00382269"/>
    <w:rsid w:val="00F7479A"/>
    <w:rsid w:val="00FB0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17F7845FDE40CD9B886E3C241F7739">
    <w:name w:val="1B17F7845FDE40CD9B886E3C241F7739"/>
    <w:rsid w:val="00FB02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17F7845FDE40CD9B886E3C241F7739">
    <w:name w:val="1B17F7845FDE40CD9B886E3C241F7739"/>
    <w:rsid w:val="00FB02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1320</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FY2017 Perkins Guidelines FAQ</dc:title>
  <dc:creator>Natasha Piper</dc:creator>
  <cp:lastModifiedBy>Natasha Piper</cp:lastModifiedBy>
  <cp:revision>4</cp:revision>
  <dcterms:created xsi:type="dcterms:W3CDTF">2016-03-31T15:55:00Z</dcterms:created>
  <dcterms:modified xsi:type="dcterms:W3CDTF">2016-04-07T19:57:00Z</dcterms:modified>
</cp:coreProperties>
</file>