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3929A1" w:rsidRPr="00004900" w:rsidTr="009203EF">
        <w:trPr>
          <w:trHeight w:val="576"/>
        </w:trPr>
        <w:tc>
          <w:tcPr>
            <w:tcW w:w="108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C1044" w:rsidRPr="009D40C5" w:rsidRDefault="00DC1044" w:rsidP="00A102B6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9D40C5">
              <w:rPr>
                <w:rFonts w:cs="Arial"/>
                <w:b/>
                <w:caps/>
                <w:sz w:val="24"/>
                <w:szCs w:val="24"/>
              </w:rPr>
              <w:t>Illinois Community College board</w:t>
            </w:r>
          </w:p>
          <w:p w:rsidR="00DC1044" w:rsidRPr="00DC1044" w:rsidRDefault="00DC1044" w:rsidP="00A102B6">
            <w:pPr>
              <w:jc w:val="center"/>
              <w:rPr>
                <w:rFonts w:cs="Arial"/>
                <w:b/>
                <w:caps/>
                <w:sz w:val="10"/>
                <w:szCs w:val="10"/>
              </w:rPr>
            </w:pPr>
          </w:p>
          <w:p w:rsidR="003929A1" w:rsidRPr="009D40C5" w:rsidRDefault="00A102B6" w:rsidP="00A102B6">
            <w:pPr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9D40C5">
              <w:rPr>
                <w:rFonts w:cs="Arial"/>
                <w:b/>
                <w:caps/>
                <w:sz w:val="28"/>
                <w:szCs w:val="28"/>
              </w:rPr>
              <w:t xml:space="preserve">fy 2015 </w:t>
            </w:r>
            <w:r w:rsidR="003929A1" w:rsidRPr="009D40C5">
              <w:rPr>
                <w:rFonts w:cs="Arial"/>
                <w:b/>
                <w:caps/>
                <w:sz w:val="28"/>
                <w:szCs w:val="28"/>
              </w:rPr>
              <w:t xml:space="preserve">Perkins </w:t>
            </w:r>
            <w:r w:rsidRPr="009D40C5">
              <w:rPr>
                <w:rFonts w:cs="Arial"/>
                <w:b/>
                <w:caps/>
                <w:sz w:val="28"/>
                <w:szCs w:val="28"/>
              </w:rPr>
              <w:t>GRANT GUIDELINES</w:t>
            </w:r>
            <w:r w:rsidR="003929A1" w:rsidRPr="009D40C5">
              <w:rPr>
                <w:rFonts w:cs="Arial"/>
                <w:b/>
                <w:caps/>
                <w:sz w:val="28"/>
                <w:szCs w:val="28"/>
              </w:rPr>
              <w:t xml:space="preserve"> FAQ</w:t>
            </w:r>
          </w:p>
          <w:p w:rsidR="00DC1044" w:rsidRPr="00DC1044" w:rsidRDefault="00DC1044" w:rsidP="00A102B6">
            <w:pPr>
              <w:jc w:val="center"/>
              <w:rPr>
                <w:rFonts w:cs="Arial"/>
                <w:b/>
                <w:caps/>
                <w:sz w:val="6"/>
                <w:szCs w:val="6"/>
              </w:rPr>
            </w:pPr>
          </w:p>
        </w:tc>
      </w:tr>
      <w:tr w:rsidR="009203EF" w:rsidRPr="00004900" w:rsidTr="009203EF">
        <w:trPr>
          <w:trHeight w:val="144"/>
        </w:trPr>
        <w:tc>
          <w:tcPr>
            <w:tcW w:w="108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3EF" w:rsidRPr="009203EF" w:rsidRDefault="009203EF" w:rsidP="00C26F65">
            <w:pPr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C26F65" w:rsidRPr="00004900" w:rsidTr="009203EF">
        <w:trPr>
          <w:trHeight w:val="576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C26F65" w:rsidRPr="009203EF" w:rsidRDefault="00C26F65" w:rsidP="00C26F65">
            <w:pPr>
              <w:rPr>
                <w:rFonts w:cs="Arial"/>
                <w:b/>
                <w:sz w:val="28"/>
                <w:szCs w:val="28"/>
              </w:rPr>
            </w:pPr>
            <w:r w:rsidRPr="009203EF">
              <w:rPr>
                <w:rFonts w:cs="Arial"/>
                <w:b/>
                <w:smallCaps/>
                <w:sz w:val="28"/>
                <w:szCs w:val="28"/>
              </w:rPr>
              <w:t>Perkins Salary Information Sheet</w:t>
            </w:r>
            <w:r w:rsidRPr="009203EF">
              <w:rPr>
                <w:rFonts w:cs="Arial"/>
                <w:b/>
                <w:sz w:val="28"/>
                <w:szCs w:val="28"/>
              </w:rPr>
              <w:t xml:space="preserve"> (FORM 3)</w:t>
            </w:r>
          </w:p>
        </w:tc>
      </w:tr>
      <w:tr w:rsidR="002615A3" w:rsidRPr="00004900" w:rsidTr="009203EF">
        <w:trPr>
          <w:trHeight w:val="144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E56D41" w:rsidRDefault="00E56D41" w:rsidP="00514F24">
            <w:pPr>
              <w:rPr>
                <w:rFonts w:cs="Arial"/>
                <w:b/>
                <w:sz w:val="24"/>
                <w:szCs w:val="24"/>
              </w:rPr>
            </w:pPr>
          </w:p>
          <w:p w:rsidR="002615A3" w:rsidRDefault="004A7A2B" w:rsidP="00514F24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E56D41">
              <w:rPr>
                <w:rFonts w:cs="Arial"/>
                <w:b/>
                <w:sz w:val="24"/>
                <w:szCs w:val="24"/>
              </w:rPr>
              <w:t>1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514F24">
              <w:rPr>
                <w:rFonts w:cs="Arial"/>
                <w:b/>
                <w:sz w:val="24"/>
                <w:szCs w:val="24"/>
              </w:rPr>
              <w:t xml:space="preserve">How should </w:t>
            </w:r>
            <w:r w:rsidR="002615A3" w:rsidRPr="00004900">
              <w:rPr>
                <w:rFonts w:cs="Arial"/>
                <w:b/>
                <w:sz w:val="24"/>
                <w:szCs w:val="24"/>
              </w:rPr>
              <w:t>student workers, tutors</w:t>
            </w:r>
            <w:r w:rsidR="00601535" w:rsidRPr="00004900">
              <w:rPr>
                <w:rFonts w:cs="Arial"/>
                <w:b/>
                <w:sz w:val="24"/>
                <w:szCs w:val="24"/>
              </w:rPr>
              <w:t>, etc.</w:t>
            </w:r>
            <w:r w:rsidR="002615A3" w:rsidRPr="0000490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14F24">
              <w:rPr>
                <w:rFonts w:cs="Arial"/>
                <w:b/>
                <w:sz w:val="24"/>
                <w:szCs w:val="24"/>
              </w:rPr>
              <w:t>be included in form 3?</w:t>
            </w:r>
          </w:p>
          <w:p w:rsidR="00CC5E65" w:rsidRPr="00C14392" w:rsidRDefault="00CC5E65" w:rsidP="00514F24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2615A3" w:rsidRPr="00004900" w:rsidTr="009203EF">
        <w:trPr>
          <w:trHeight w:val="53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2615A3" w:rsidRDefault="004A7A2B" w:rsidP="00514F2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04900">
              <w:rPr>
                <w:rFonts w:cs="Arial"/>
                <w:sz w:val="24"/>
                <w:szCs w:val="24"/>
              </w:rPr>
              <w:t xml:space="preserve">An ‘other’ section has been added to </w:t>
            </w:r>
            <w:r w:rsidR="00514F24">
              <w:rPr>
                <w:rFonts w:cs="Arial"/>
                <w:sz w:val="24"/>
                <w:szCs w:val="24"/>
              </w:rPr>
              <w:t>the form</w:t>
            </w:r>
            <w:r w:rsidRPr="00004900">
              <w:rPr>
                <w:rFonts w:cs="Arial"/>
                <w:sz w:val="24"/>
                <w:szCs w:val="24"/>
              </w:rPr>
              <w:t xml:space="preserve"> which allows colleges to provide aggregated salary and benefit information for tutors, student workers, etc. </w:t>
            </w:r>
          </w:p>
          <w:p w:rsidR="00E56D41" w:rsidRPr="00004900" w:rsidRDefault="00E56D41" w:rsidP="00E56D41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4A7A2B" w:rsidRPr="00004900" w:rsidTr="009203EF">
        <w:trPr>
          <w:trHeight w:val="17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4A7A2B" w:rsidRDefault="00CF14FB" w:rsidP="00CF14FB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E56D41">
              <w:rPr>
                <w:rFonts w:cs="Arial"/>
                <w:b/>
                <w:sz w:val="24"/>
                <w:szCs w:val="24"/>
              </w:rPr>
              <w:t>2</w:t>
            </w:r>
            <w:r w:rsidRPr="00004900">
              <w:rPr>
                <w:rFonts w:cs="Arial"/>
                <w:b/>
                <w:sz w:val="24"/>
                <w:szCs w:val="24"/>
              </w:rPr>
              <w:t>. Can the salary and benefit</w:t>
            </w:r>
            <w:r w:rsidR="004A7A2B" w:rsidRPr="00004900">
              <w:rPr>
                <w:rFonts w:cs="Arial"/>
                <w:b/>
                <w:sz w:val="24"/>
                <w:szCs w:val="24"/>
              </w:rPr>
              <w:t xml:space="preserve"> amount</w:t>
            </w:r>
            <w:r w:rsidRPr="00004900">
              <w:rPr>
                <w:rFonts w:cs="Arial"/>
                <w:b/>
                <w:sz w:val="24"/>
                <w:szCs w:val="24"/>
              </w:rPr>
              <w:t>s</w:t>
            </w:r>
            <w:r w:rsidR="004A7A2B" w:rsidRPr="00004900">
              <w:rPr>
                <w:rFonts w:cs="Arial"/>
                <w:b/>
                <w:sz w:val="24"/>
                <w:szCs w:val="24"/>
              </w:rPr>
              <w:t xml:space="preserve"> listed be estimate</w:t>
            </w:r>
            <w:r w:rsidR="006A32B9" w:rsidRPr="00004900">
              <w:rPr>
                <w:rFonts w:cs="Arial"/>
                <w:b/>
                <w:sz w:val="24"/>
                <w:szCs w:val="24"/>
              </w:rPr>
              <w:t>d amounts</w:t>
            </w:r>
            <w:r w:rsidR="004A7A2B" w:rsidRPr="00004900">
              <w:rPr>
                <w:rFonts w:cs="Arial"/>
                <w:b/>
                <w:sz w:val="24"/>
                <w:szCs w:val="24"/>
              </w:rPr>
              <w:t>?</w:t>
            </w:r>
          </w:p>
          <w:p w:rsidR="00CC5E65" w:rsidRPr="00C14392" w:rsidRDefault="00CC5E65" w:rsidP="00CF14FB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2615A3" w:rsidRPr="00004900" w:rsidTr="009203EF">
        <w:trPr>
          <w:trHeight w:val="17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2615A3" w:rsidRDefault="000F670E" w:rsidP="00CF14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It is expected that the best estimate, based upon the salary / benefits of the individual(s) in question is made when preparing this information.  </w:t>
            </w:r>
          </w:p>
          <w:p w:rsidR="00E56D41" w:rsidRPr="00004900" w:rsidRDefault="00E56D41" w:rsidP="00E56D41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2615A3" w:rsidRPr="00004900" w:rsidTr="009203EF">
        <w:trPr>
          <w:trHeight w:val="26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DC1044" w:rsidRDefault="005B086E" w:rsidP="00BC0DA2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E56D41">
              <w:rPr>
                <w:rFonts w:cs="Arial"/>
                <w:b/>
                <w:sz w:val="24"/>
                <w:szCs w:val="24"/>
              </w:rPr>
              <w:t>3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4133E5" w:rsidRPr="00004900">
              <w:rPr>
                <w:rFonts w:cs="Arial"/>
                <w:b/>
                <w:sz w:val="24"/>
                <w:szCs w:val="24"/>
              </w:rPr>
              <w:t xml:space="preserve">If </w:t>
            </w:r>
            <w:r w:rsidR="00BC0DA2">
              <w:rPr>
                <w:rFonts w:cs="Arial"/>
                <w:b/>
                <w:sz w:val="24"/>
                <w:szCs w:val="24"/>
              </w:rPr>
              <w:t>a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 college faculty </w:t>
            </w:r>
            <w:r w:rsidR="00601535" w:rsidRPr="00004900">
              <w:rPr>
                <w:rFonts w:cs="Arial"/>
                <w:b/>
                <w:sz w:val="24"/>
                <w:szCs w:val="24"/>
              </w:rPr>
              <w:t xml:space="preserve">member </w:t>
            </w:r>
            <w:r w:rsidR="00BC0DA2">
              <w:rPr>
                <w:rFonts w:cs="Arial"/>
                <w:b/>
                <w:sz w:val="24"/>
                <w:szCs w:val="24"/>
              </w:rPr>
              <w:t xml:space="preserve">is involved in activities related to the principles and elements 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should they </w:t>
            </w:r>
            <w:r w:rsidR="00DC1044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5B086E" w:rsidRDefault="00DC1044" w:rsidP="00BC0DA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proofErr w:type="gramStart"/>
            <w:r w:rsidR="005B086E" w:rsidRPr="00004900">
              <w:rPr>
                <w:rFonts w:cs="Arial"/>
                <w:b/>
                <w:sz w:val="24"/>
                <w:szCs w:val="24"/>
              </w:rPr>
              <w:t>be</w:t>
            </w:r>
            <w:proofErr w:type="gramEnd"/>
            <w:r w:rsidR="005B086E" w:rsidRPr="00004900">
              <w:rPr>
                <w:rFonts w:cs="Arial"/>
                <w:b/>
                <w:sz w:val="24"/>
                <w:szCs w:val="24"/>
              </w:rPr>
              <w:t xml:space="preserve"> included in Form 3?</w:t>
            </w:r>
          </w:p>
          <w:p w:rsidR="00CC5E65" w:rsidRPr="00C14392" w:rsidRDefault="00CC5E65" w:rsidP="00BC0DA2">
            <w:pPr>
              <w:rPr>
                <w:rFonts w:cs="Arial"/>
                <w:sz w:val="8"/>
                <w:szCs w:val="8"/>
              </w:rPr>
            </w:pPr>
          </w:p>
        </w:tc>
      </w:tr>
      <w:tr w:rsidR="001D52E8" w:rsidRPr="00004900" w:rsidTr="009203EF">
        <w:trPr>
          <w:trHeight w:val="26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1D52E8" w:rsidRPr="00E56D41" w:rsidRDefault="00601535" w:rsidP="00BC0DA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sz w:val="24"/>
                <w:szCs w:val="24"/>
              </w:rPr>
              <w:t xml:space="preserve">If the faculty member is paid with Perkins funds, then yes they should be included in Form 3. </w:t>
            </w:r>
            <w:r w:rsidR="001D52E8" w:rsidRPr="00004900">
              <w:rPr>
                <w:rFonts w:cs="Arial"/>
                <w:sz w:val="24"/>
                <w:szCs w:val="24"/>
              </w:rPr>
              <w:t>If they are not paid with Perkins funds,</w:t>
            </w:r>
            <w:r w:rsidRPr="00004900">
              <w:rPr>
                <w:rFonts w:cs="Arial"/>
                <w:sz w:val="24"/>
                <w:szCs w:val="24"/>
              </w:rPr>
              <w:t xml:space="preserve"> include their efforts in Form 4, but do not include them in Form 3.</w:t>
            </w:r>
          </w:p>
          <w:p w:rsidR="00E56D41" w:rsidRPr="00004900" w:rsidRDefault="00E56D41" w:rsidP="00E56D4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</w:tr>
      <w:tr w:rsidR="00A506BD" w:rsidRPr="00004900" w:rsidTr="009203EF">
        <w:trPr>
          <w:trHeight w:val="26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A506BD" w:rsidRDefault="00A506BD" w:rsidP="00A506BD">
            <w:pPr>
              <w:rPr>
                <w:rFonts w:cs="Arial"/>
                <w:b/>
                <w:sz w:val="24"/>
                <w:szCs w:val="24"/>
              </w:rPr>
            </w:pPr>
            <w:r w:rsidRPr="00BC0DA2">
              <w:rPr>
                <w:rFonts w:cs="Arial"/>
                <w:b/>
                <w:sz w:val="24"/>
                <w:szCs w:val="24"/>
              </w:rPr>
              <w:t>Q</w:t>
            </w:r>
            <w:r w:rsidR="00E56D41">
              <w:rPr>
                <w:rFonts w:cs="Arial"/>
                <w:b/>
                <w:sz w:val="24"/>
                <w:szCs w:val="24"/>
              </w:rPr>
              <w:t>4</w:t>
            </w:r>
            <w:r w:rsidRPr="00BC0DA2">
              <w:rPr>
                <w:rFonts w:cs="Arial"/>
                <w:b/>
                <w:sz w:val="24"/>
                <w:szCs w:val="24"/>
              </w:rPr>
              <w:t xml:space="preserve">. What </w:t>
            </w:r>
            <w:r w:rsidR="00BC0DA2" w:rsidRPr="00BC0DA2">
              <w:rPr>
                <w:rFonts w:cs="Arial"/>
                <w:b/>
                <w:sz w:val="24"/>
                <w:szCs w:val="24"/>
              </w:rPr>
              <w:t xml:space="preserve">needs to be listed in the </w:t>
            </w:r>
            <w:r w:rsidRPr="00BC0DA2">
              <w:rPr>
                <w:rFonts w:cs="Arial"/>
                <w:b/>
                <w:sz w:val="24"/>
                <w:szCs w:val="24"/>
              </w:rPr>
              <w:t>impacted p</w:t>
            </w:r>
            <w:r w:rsidR="00BC0DA2" w:rsidRPr="00BC0DA2">
              <w:rPr>
                <w:rFonts w:cs="Arial"/>
                <w:b/>
                <w:sz w:val="24"/>
                <w:szCs w:val="24"/>
              </w:rPr>
              <w:t>rinciples column?</w:t>
            </w:r>
          </w:p>
          <w:p w:rsidR="00CC5E65" w:rsidRPr="00C14392" w:rsidRDefault="00CC5E65" w:rsidP="00A506BD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A506BD" w:rsidRPr="00004900" w:rsidTr="009203EF">
        <w:trPr>
          <w:trHeight w:val="261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A506BD" w:rsidRDefault="00BC0DA2" w:rsidP="00BC0DA2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For each person paid with Perkins funds, you must indicate each principle related to their specific job duties. You do not need to reference the elements, only principles 1-6. Listing principle 1-6 for each staff member paid with Perkins funds is not acceptable. </w:t>
            </w:r>
            <w:r w:rsidR="000F670E">
              <w:rPr>
                <w:rFonts w:cs="Arial"/>
                <w:sz w:val="24"/>
                <w:szCs w:val="24"/>
              </w:rPr>
              <w:t xml:space="preserve"> Thoughtful consideration of their job duties and how they relate to the principles is expected.</w:t>
            </w:r>
          </w:p>
          <w:p w:rsidR="00E56D41" w:rsidRPr="00BC0DA2" w:rsidRDefault="00E56D41" w:rsidP="00E56D41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620A57" w:rsidRPr="00004900" w:rsidTr="009203EF">
        <w:trPr>
          <w:trHeight w:val="576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620A57" w:rsidRPr="00BC0DA2" w:rsidRDefault="00620A57" w:rsidP="00C26F65">
            <w:pPr>
              <w:rPr>
                <w:rFonts w:cs="Arial"/>
                <w:b/>
                <w:sz w:val="28"/>
                <w:szCs w:val="28"/>
              </w:rPr>
            </w:pPr>
            <w:r w:rsidRPr="00BC0DA2">
              <w:rPr>
                <w:rFonts w:cs="Arial"/>
                <w:b/>
                <w:smallCaps/>
                <w:sz w:val="28"/>
                <w:szCs w:val="28"/>
              </w:rPr>
              <w:t>Program Narrative</w:t>
            </w:r>
            <w:r w:rsidR="00601535" w:rsidRPr="00BC0DA2">
              <w:rPr>
                <w:rFonts w:cs="Arial"/>
                <w:b/>
                <w:smallCaps/>
                <w:sz w:val="28"/>
                <w:szCs w:val="28"/>
              </w:rPr>
              <w:t xml:space="preserve"> Worksheet</w:t>
            </w:r>
            <w:r w:rsidR="00601535" w:rsidRPr="00BC0DA2">
              <w:rPr>
                <w:rFonts w:cs="Arial"/>
                <w:b/>
                <w:sz w:val="28"/>
                <w:szCs w:val="28"/>
              </w:rPr>
              <w:t xml:space="preserve"> (FORM 4)</w:t>
            </w:r>
          </w:p>
        </w:tc>
      </w:tr>
      <w:tr w:rsidR="00620A57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E56D41" w:rsidRDefault="00E56D41" w:rsidP="004133E5">
            <w:pPr>
              <w:rPr>
                <w:rFonts w:cs="Arial"/>
                <w:b/>
                <w:sz w:val="24"/>
                <w:szCs w:val="24"/>
              </w:rPr>
            </w:pPr>
          </w:p>
          <w:p w:rsidR="00620A57" w:rsidRDefault="004133E5" w:rsidP="004133E5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E56D41">
              <w:rPr>
                <w:rFonts w:cs="Arial"/>
                <w:b/>
                <w:sz w:val="24"/>
                <w:szCs w:val="24"/>
              </w:rPr>
              <w:t>1</w:t>
            </w:r>
            <w:r w:rsidRPr="00004900">
              <w:rPr>
                <w:rFonts w:cs="Arial"/>
                <w:b/>
                <w:sz w:val="24"/>
                <w:szCs w:val="24"/>
              </w:rPr>
              <w:t>. How do you reflect Perkins resources if</w:t>
            </w:r>
            <w:r w:rsidR="00620A57" w:rsidRPr="00004900">
              <w:rPr>
                <w:rFonts w:cs="Arial"/>
                <w:b/>
                <w:sz w:val="24"/>
                <w:szCs w:val="24"/>
              </w:rPr>
              <w:t xml:space="preserve"> the activit</w:t>
            </w:r>
            <w:r w:rsidRPr="00004900">
              <w:rPr>
                <w:rFonts w:cs="Arial"/>
                <w:b/>
                <w:sz w:val="24"/>
                <w:szCs w:val="24"/>
              </w:rPr>
              <w:t>y addresses multiple elements?</w:t>
            </w:r>
          </w:p>
          <w:p w:rsidR="00CC5E65" w:rsidRPr="00C14392" w:rsidRDefault="00CC5E65" w:rsidP="004133E5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620A57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620A57" w:rsidRDefault="00620A57" w:rsidP="004133E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004900">
              <w:rPr>
                <w:rFonts w:cs="Arial"/>
                <w:sz w:val="24"/>
                <w:szCs w:val="24"/>
              </w:rPr>
              <w:t>Reference the previous activity to avoid duplication of funding.</w:t>
            </w:r>
          </w:p>
          <w:p w:rsidR="00E56D41" w:rsidRPr="00004900" w:rsidRDefault="00E56D41" w:rsidP="00E56D41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620A57" w:rsidRPr="00004900" w:rsidTr="009203EF">
        <w:trPr>
          <w:trHeight w:val="576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vAlign w:val="bottom"/>
          </w:tcPr>
          <w:p w:rsidR="00620A57" w:rsidRPr="00CC5E65" w:rsidRDefault="00620A57" w:rsidP="00C26F65">
            <w:pPr>
              <w:rPr>
                <w:rFonts w:cs="Arial"/>
                <w:b/>
                <w:sz w:val="28"/>
                <w:szCs w:val="28"/>
              </w:rPr>
            </w:pPr>
            <w:r w:rsidRPr="00CC5E65">
              <w:rPr>
                <w:rFonts w:cs="Arial"/>
                <w:b/>
                <w:smallCaps/>
                <w:sz w:val="28"/>
                <w:szCs w:val="28"/>
              </w:rPr>
              <w:t>Program of Study</w:t>
            </w:r>
            <w:r w:rsidR="001D52E8" w:rsidRPr="00CC5E65">
              <w:rPr>
                <w:rFonts w:cs="Arial"/>
                <w:b/>
                <w:smallCaps/>
                <w:sz w:val="28"/>
                <w:szCs w:val="28"/>
              </w:rPr>
              <w:t xml:space="preserve"> Inventory</w:t>
            </w:r>
            <w:r w:rsidR="001D52E8" w:rsidRPr="00CC5E65">
              <w:rPr>
                <w:rFonts w:cs="Arial"/>
                <w:b/>
                <w:sz w:val="28"/>
                <w:szCs w:val="28"/>
              </w:rPr>
              <w:t xml:space="preserve">  (FORM 6)</w:t>
            </w:r>
          </w:p>
        </w:tc>
      </w:tr>
      <w:tr w:rsidR="00601535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F65" w:rsidRPr="00C26F65" w:rsidRDefault="00C26F65" w:rsidP="00CC5E65">
            <w:pPr>
              <w:rPr>
                <w:rFonts w:cs="Arial"/>
                <w:i/>
                <w:sz w:val="4"/>
                <w:szCs w:val="4"/>
              </w:rPr>
            </w:pPr>
          </w:p>
          <w:p w:rsidR="00601535" w:rsidRPr="00004900" w:rsidRDefault="00601535" w:rsidP="00CC5E65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i/>
                <w:sz w:val="24"/>
                <w:szCs w:val="24"/>
              </w:rPr>
              <w:t xml:space="preserve">Every college should have at least one </w:t>
            </w:r>
            <w:r w:rsidR="00CC5E65">
              <w:rPr>
                <w:rFonts w:cs="Arial"/>
                <w:i/>
                <w:sz w:val="24"/>
                <w:szCs w:val="24"/>
              </w:rPr>
              <w:t xml:space="preserve">fully developed </w:t>
            </w:r>
            <w:r w:rsidRPr="00004900">
              <w:rPr>
                <w:rFonts w:cs="Arial"/>
                <w:i/>
                <w:sz w:val="24"/>
                <w:szCs w:val="24"/>
              </w:rPr>
              <w:t xml:space="preserve">program of study (POS) that meets the minimum standards as noted by the POS Expectations tool in order to receive Perkins funding. </w:t>
            </w:r>
          </w:p>
        </w:tc>
      </w:tr>
      <w:tr w:rsidR="00620A57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F65" w:rsidRDefault="00C26F65" w:rsidP="00601535">
            <w:pPr>
              <w:rPr>
                <w:rFonts w:cs="Arial"/>
                <w:b/>
                <w:sz w:val="24"/>
                <w:szCs w:val="24"/>
              </w:rPr>
            </w:pPr>
          </w:p>
          <w:p w:rsidR="00620A57" w:rsidRDefault="004133E5" w:rsidP="00601535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1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620A57" w:rsidRPr="00004900">
              <w:rPr>
                <w:rFonts w:cs="Arial"/>
                <w:b/>
                <w:sz w:val="24"/>
                <w:szCs w:val="24"/>
              </w:rPr>
              <w:t>Can you</w:t>
            </w:r>
            <w:r w:rsidR="00601535" w:rsidRPr="00004900">
              <w:rPr>
                <w:rFonts w:cs="Arial"/>
                <w:b/>
                <w:sz w:val="24"/>
                <w:szCs w:val="24"/>
              </w:rPr>
              <w:t xml:space="preserve"> focus on </w:t>
            </w:r>
            <w:r w:rsidR="00620A57" w:rsidRPr="00004900">
              <w:rPr>
                <w:rFonts w:cs="Arial"/>
                <w:b/>
                <w:sz w:val="24"/>
                <w:szCs w:val="24"/>
              </w:rPr>
              <w:t>the same POS from the previous year?</w:t>
            </w:r>
          </w:p>
          <w:p w:rsidR="00CC5E65" w:rsidRPr="00C14392" w:rsidRDefault="00CC5E65" w:rsidP="00601535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1D52E8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2E8" w:rsidRDefault="001D52E8" w:rsidP="001D52E8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004900">
              <w:rPr>
                <w:rFonts w:cs="Arial"/>
                <w:sz w:val="24"/>
                <w:szCs w:val="24"/>
              </w:rPr>
              <w:t>Yes</w:t>
            </w:r>
            <w:r w:rsidR="00CC5E65">
              <w:rPr>
                <w:rFonts w:cs="Arial"/>
                <w:sz w:val="24"/>
                <w:szCs w:val="24"/>
              </w:rPr>
              <w:t xml:space="preserve">, this is acceptable. </w:t>
            </w:r>
          </w:p>
          <w:p w:rsidR="00C26F65" w:rsidRPr="00004900" w:rsidRDefault="00C26F65" w:rsidP="00C26F6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620A57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A57" w:rsidRDefault="004133E5" w:rsidP="001D52E8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2</w:t>
            </w:r>
            <w:r w:rsidRPr="00004900">
              <w:rPr>
                <w:rFonts w:cs="Arial"/>
                <w:b/>
                <w:sz w:val="24"/>
                <w:szCs w:val="24"/>
              </w:rPr>
              <w:t>.</w:t>
            </w:r>
            <w:r w:rsidR="001D52E8" w:rsidRPr="00004900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="00620A57" w:rsidRPr="00004900">
              <w:rPr>
                <w:rFonts w:cs="Arial"/>
                <w:b/>
                <w:sz w:val="24"/>
                <w:szCs w:val="24"/>
              </w:rPr>
              <w:t>Does</w:t>
            </w:r>
            <w:proofErr w:type="gramEnd"/>
            <w:r w:rsidR="00620A57" w:rsidRPr="00004900">
              <w:rPr>
                <w:rFonts w:cs="Arial"/>
                <w:b/>
                <w:sz w:val="24"/>
                <w:szCs w:val="24"/>
              </w:rPr>
              <w:t xml:space="preserve"> a POS have to lead to an industry-recognized credential</w:t>
            </w:r>
            <w:r w:rsidR="00CC5E65">
              <w:rPr>
                <w:rFonts w:cs="Arial"/>
                <w:b/>
                <w:sz w:val="24"/>
                <w:szCs w:val="24"/>
              </w:rPr>
              <w:t xml:space="preserve"> (IRC)</w:t>
            </w:r>
            <w:r w:rsidR="00620A57" w:rsidRPr="00004900">
              <w:rPr>
                <w:rFonts w:cs="Arial"/>
                <w:b/>
                <w:sz w:val="24"/>
                <w:szCs w:val="24"/>
              </w:rPr>
              <w:t>?</w:t>
            </w:r>
          </w:p>
          <w:p w:rsidR="00CC5E65" w:rsidRPr="00C14392" w:rsidRDefault="00CC5E65" w:rsidP="001D52E8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620A57" w:rsidRPr="00004900" w:rsidTr="009203EF">
        <w:trPr>
          <w:trHeight w:val="292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A57" w:rsidRDefault="00CC5E65" w:rsidP="00CC5E65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varies by industry, but i</w:t>
            </w:r>
            <w:r w:rsidR="00620A57" w:rsidRPr="00004900">
              <w:rPr>
                <w:rFonts w:cs="Arial"/>
                <w:sz w:val="24"/>
                <w:szCs w:val="24"/>
              </w:rPr>
              <w:t>f th</w:t>
            </w:r>
            <w:r w:rsidR="004133E5" w:rsidRPr="00004900">
              <w:rPr>
                <w:rFonts w:cs="Arial"/>
                <w:sz w:val="24"/>
                <w:szCs w:val="24"/>
              </w:rPr>
              <w:t xml:space="preserve">ere is an applicable IRC then </w:t>
            </w:r>
            <w:r>
              <w:rPr>
                <w:rFonts w:cs="Arial"/>
                <w:sz w:val="24"/>
                <w:szCs w:val="24"/>
              </w:rPr>
              <w:t xml:space="preserve">it is </w:t>
            </w:r>
            <w:r w:rsidR="004133E5" w:rsidRPr="00004900">
              <w:rPr>
                <w:rFonts w:cs="Arial"/>
                <w:sz w:val="24"/>
                <w:szCs w:val="24"/>
              </w:rPr>
              <w:t>best practice to</w:t>
            </w:r>
            <w:r w:rsidR="00620A57" w:rsidRPr="00004900">
              <w:rPr>
                <w:rFonts w:cs="Arial"/>
                <w:sz w:val="24"/>
                <w:szCs w:val="24"/>
              </w:rPr>
              <w:t xml:space="preserve"> incorporate </w:t>
            </w:r>
            <w:r w:rsidR="000F670E">
              <w:rPr>
                <w:rFonts w:cs="Arial"/>
                <w:sz w:val="24"/>
                <w:szCs w:val="24"/>
              </w:rPr>
              <w:t>them</w:t>
            </w:r>
            <w:r w:rsidR="00620A57" w:rsidRPr="00004900">
              <w:rPr>
                <w:rFonts w:cs="Arial"/>
                <w:sz w:val="24"/>
                <w:szCs w:val="24"/>
              </w:rPr>
              <w:t>.</w:t>
            </w:r>
          </w:p>
          <w:p w:rsidR="00C26F65" w:rsidRPr="00004900" w:rsidRDefault="00C26F65" w:rsidP="00C26F6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:rsidR="00464F5D" w:rsidRDefault="00464F5D"/>
    <w:p w:rsidR="00294224" w:rsidRDefault="00294224">
      <w:bookmarkStart w:id="0" w:name="_GoBack"/>
      <w:bookmarkEnd w:id="0"/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464F5D" w:rsidRPr="00004900" w:rsidTr="004575E0">
        <w:trPr>
          <w:trHeight w:val="576"/>
        </w:trPr>
        <w:tc>
          <w:tcPr>
            <w:tcW w:w="10890" w:type="dxa"/>
            <w:shd w:val="clear" w:color="auto" w:fill="B6DDE8" w:themeFill="accent5" w:themeFillTint="66"/>
            <w:vAlign w:val="bottom"/>
          </w:tcPr>
          <w:p w:rsidR="00464F5D" w:rsidRPr="00CC5E65" w:rsidRDefault="00464F5D" w:rsidP="00F6260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lastRenderedPageBreak/>
              <w:t>FORM 6 - Continued</w:t>
            </w:r>
          </w:p>
        </w:tc>
      </w:tr>
      <w:tr w:rsidR="003F2DDC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464F5D" w:rsidRDefault="00464F5D" w:rsidP="00A506BD">
            <w:pPr>
              <w:rPr>
                <w:rFonts w:cs="Arial"/>
                <w:b/>
                <w:sz w:val="24"/>
                <w:szCs w:val="24"/>
              </w:rPr>
            </w:pPr>
          </w:p>
          <w:p w:rsidR="003F2DDC" w:rsidRDefault="004133E5" w:rsidP="00A506BD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3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. </w:t>
            </w:r>
            <w:r w:rsidR="00CC5E65">
              <w:rPr>
                <w:rFonts w:cs="Arial"/>
                <w:b/>
                <w:sz w:val="24"/>
                <w:szCs w:val="24"/>
              </w:rPr>
              <w:t xml:space="preserve">Can a POS that is currently in development be selected as the focus for FY 2015? </w:t>
            </w:r>
          </w:p>
          <w:p w:rsidR="00CC5E65" w:rsidRPr="00C14392" w:rsidRDefault="00CC5E65" w:rsidP="00A506BD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1D52E8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1D52E8" w:rsidRDefault="001D52E8" w:rsidP="00A506B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004900">
              <w:rPr>
                <w:rFonts w:cs="Arial"/>
                <w:sz w:val="24"/>
                <w:szCs w:val="24"/>
              </w:rPr>
              <w:t xml:space="preserve">Yes. </w:t>
            </w:r>
            <w:r w:rsidR="00A506BD" w:rsidRPr="00004900">
              <w:rPr>
                <w:rFonts w:cs="Arial"/>
                <w:sz w:val="24"/>
                <w:szCs w:val="24"/>
              </w:rPr>
              <w:t>C</w:t>
            </w:r>
            <w:r w:rsidRPr="00004900">
              <w:rPr>
                <w:rFonts w:cs="Arial"/>
                <w:sz w:val="24"/>
                <w:szCs w:val="24"/>
              </w:rPr>
              <w:t xml:space="preserve">olleges can focus on </w:t>
            </w:r>
            <w:r w:rsidR="00A506BD" w:rsidRPr="00004900">
              <w:rPr>
                <w:rFonts w:cs="Arial"/>
                <w:sz w:val="24"/>
                <w:szCs w:val="24"/>
              </w:rPr>
              <w:t xml:space="preserve">the expansion or evaluation of a current POS, or on the development of a new POS. </w:t>
            </w:r>
            <w:r w:rsidR="00504A83" w:rsidRPr="00004900">
              <w:rPr>
                <w:rFonts w:cs="Arial"/>
                <w:sz w:val="24"/>
                <w:szCs w:val="24"/>
              </w:rPr>
              <w:t>If the POS is in development, colleges must mark “no” appropriately on the Expectations Tool.</w:t>
            </w:r>
            <w:r w:rsidR="00CC5E65">
              <w:rPr>
                <w:rFonts w:cs="Arial"/>
                <w:sz w:val="24"/>
                <w:szCs w:val="24"/>
              </w:rPr>
              <w:t xml:space="preserve"> Activities related to the development of a POS should be included in Form 4. </w:t>
            </w:r>
          </w:p>
          <w:p w:rsidR="00C26F65" w:rsidRPr="00004900" w:rsidRDefault="00C26F65" w:rsidP="00C26F6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3F2DDC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3F2DDC" w:rsidRDefault="00B16E93" w:rsidP="00F10A33">
            <w:pPr>
              <w:rPr>
                <w:rFonts w:cs="Arial"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4</w:t>
            </w:r>
            <w:r w:rsidRPr="00004900">
              <w:rPr>
                <w:rFonts w:cs="Arial"/>
                <w:sz w:val="24"/>
                <w:szCs w:val="24"/>
              </w:rPr>
              <w:t xml:space="preserve">. 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What </w:t>
            </w:r>
            <w:r w:rsidR="00F10A33" w:rsidRPr="00004900">
              <w:rPr>
                <w:rFonts w:cs="Arial"/>
                <w:b/>
                <w:sz w:val="24"/>
                <w:szCs w:val="24"/>
              </w:rPr>
              <w:t xml:space="preserve">types of </w:t>
            </w:r>
            <w:r w:rsidRPr="00004900">
              <w:rPr>
                <w:rFonts w:cs="Arial"/>
                <w:b/>
                <w:sz w:val="24"/>
                <w:szCs w:val="24"/>
              </w:rPr>
              <w:t xml:space="preserve">examples </w:t>
            </w:r>
            <w:r w:rsidR="00F10A33" w:rsidRPr="00004900">
              <w:rPr>
                <w:rFonts w:cs="Arial"/>
                <w:b/>
                <w:sz w:val="24"/>
                <w:szCs w:val="24"/>
              </w:rPr>
              <w:t xml:space="preserve">should be listed </w:t>
            </w:r>
            <w:r w:rsidRPr="00004900">
              <w:rPr>
                <w:rFonts w:cs="Arial"/>
                <w:b/>
                <w:sz w:val="24"/>
                <w:szCs w:val="24"/>
              </w:rPr>
              <w:t>in the evidence section?</w:t>
            </w:r>
            <w:r w:rsidRPr="00004900">
              <w:rPr>
                <w:rFonts w:cs="Arial"/>
                <w:sz w:val="24"/>
                <w:szCs w:val="24"/>
              </w:rPr>
              <w:t xml:space="preserve"> </w:t>
            </w:r>
          </w:p>
          <w:p w:rsidR="00CC5E65" w:rsidRPr="00C14392" w:rsidRDefault="00CC5E65" w:rsidP="00F10A33">
            <w:pPr>
              <w:rPr>
                <w:rFonts w:cs="Arial"/>
                <w:sz w:val="8"/>
                <w:szCs w:val="8"/>
              </w:rPr>
            </w:pPr>
          </w:p>
        </w:tc>
      </w:tr>
      <w:tr w:rsidR="003F2DDC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3F2DDC" w:rsidRDefault="00CC5E65" w:rsidP="00CC5E6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For guidance, utilize the examples provided in the </w:t>
            </w:r>
            <w:r w:rsidR="003F2DDC" w:rsidRPr="00004900">
              <w:rPr>
                <w:rFonts w:cs="Arial"/>
                <w:sz w:val="24"/>
                <w:szCs w:val="24"/>
              </w:rPr>
              <w:t>POS Expectations tool</w:t>
            </w:r>
            <w:r>
              <w:rPr>
                <w:rFonts w:cs="Arial"/>
                <w:sz w:val="24"/>
                <w:szCs w:val="24"/>
              </w:rPr>
              <w:t xml:space="preserve">. Identify and list a few key examples for your POS </w:t>
            </w:r>
            <w:r w:rsidRPr="00004900">
              <w:rPr>
                <w:rFonts w:cs="Arial"/>
                <w:sz w:val="24"/>
                <w:szCs w:val="24"/>
              </w:rPr>
              <w:t>(i.e. MOUs, PTR charters, dual credit information, meeting minutes, etc.).</w:t>
            </w:r>
          </w:p>
          <w:p w:rsidR="00C26F65" w:rsidRPr="00004900" w:rsidRDefault="00C26F65" w:rsidP="00C26F6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311535" w:rsidRPr="00004900" w:rsidTr="004575E0">
        <w:trPr>
          <w:trHeight w:val="576"/>
        </w:trPr>
        <w:tc>
          <w:tcPr>
            <w:tcW w:w="10890" w:type="dxa"/>
            <w:shd w:val="clear" w:color="auto" w:fill="B6DDE8" w:themeFill="accent5" w:themeFillTint="66"/>
            <w:vAlign w:val="bottom"/>
          </w:tcPr>
          <w:p w:rsidR="00311535" w:rsidRPr="00C14392" w:rsidRDefault="00C14392" w:rsidP="00C26F65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C14392">
              <w:rPr>
                <w:rFonts w:cs="Arial"/>
                <w:b/>
                <w:smallCaps/>
                <w:sz w:val="28"/>
                <w:szCs w:val="28"/>
              </w:rPr>
              <w:t>General</w:t>
            </w:r>
          </w:p>
        </w:tc>
      </w:tr>
      <w:tr w:rsidR="00311535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C26F65" w:rsidRDefault="00C26F65" w:rsidP="00B85988">
            <w:pPr>
              <w:rPr>
                <w:rFonts w:cs="Arial"/>
                <w:b/>
                <w:sz w:val="24"/>
                <w:szCs w:val="24"/>
              </w:rPr>
            </w:pPr>
          </w:p>
          <w:p w:rsidR="00B16E93" w:rsidRPr="00004900" w:rsidRDefault="00B16E93" w:rsidP="00B85988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1</w:t>
            </w:r>
            <w:r w:rsidRPr="00004900">
              <w:rPr>
                <w:rFonts w:cs="Arial"/>
                <w:b/>
                <w:sz w:val="24"/>
                <w:szCs w:val="24"/>
              </w:rPr>
              <w:t>. Will Dual Credit Enhancement Grants be available next year?</w:t>
            </w:r>
          </w:p>
          <w:p w:rsidR="00311535" w:rsidRPr="00C14392" w:rsidRDefault="00B16E93" w:rsidP="00C14392">
            <w:pPr>
              <w:rPr>
                <w:rFonts w:cs="Arial"/>
                <w:sz w:val="8"/>
                <w:szCs w:val="8"/>
              </w:rPr>
            </w:pPr>
            <w:r w:rsidRPr="00004900">
              <w:rPr>
                <w:rFonts w:cs="Arial"/>
                <w:sz w:val="24"/>
                <w:szCs w:val="24"/>
              </w:rPr>
              <w:t xml:space="preserve">       </w:t>
            </w:r>
          </w:p>
        </w:tc>
      </w:tr>
      <w:tr w:rsidR="00C14392" w:rsidRPr="00C14392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C14392" w:rsidRDefault="00C14392" w:rsidP="00C14392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will likely be Dual Credit Enhancement</w:t>
            </w:r>
            <w:r w:rsidRPr="00C14392">
              <w:rPr>
                <w:rFonts w:cs="Arial"/>
                <w:sz w:val="24"/>
                <w:szCs w:val="24"/>
              </w:rPr>
              <w:t>, PIG, PTR and Bridging the Gap funding. Innovation will not return.</w:t>
            </w:r>
          </w:p>
          <w:p w:rsidR="00C26F65" w:rsidRPr="00C14392" w:rsidRDefault="00C26F65" w:rsidP="00C26F6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C14392" w:rsidRPr="00C14392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C14392" w:rsidRDefault="00C14392" w:rsidP="00C14392">
            <w:pPr>
              <w:rPr>
                <w:rFonts w:cs="Arial"/>
                <w:b/>
                <w:sz w:val="24"/>
                <w:szCs w:val="24"/>
              </w:rPr>
            </w:pPr>
            <w:r w:rsidRPr="00C14392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2</w:t>
            </w:r>
            <w:r w:rsidRPr="00C14392">
              <w:rPr>
                <w:rFonts w:cs="Arial"/>
                <w:b/>
                <w:sz w:val="24"/>
                <w:szCs w:val="24"/>
              </w:rPr>
              <w:t>. How will Perkins allocations be determined?</w:t>
            </w:r>
          </w:p>
          <w:p w:rsidR="00C14392" w:rsidRPr="00C14392" w:rsidRDefault="00C14392" w:rsidP="00C14392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C14392" w:rsidRPr="00C14392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C14392" w:rsidRDefault="000F670E" w:rsidP="00C14392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Allocations are determined based upon the most recent Pell count information available to the ICCB</w:t>
            </w:r>
            <w:r w:rsidR="00C14392" w:rsidRPr="00C14392">
              <w:rPr>
                <w:rFonts w:cs="Arial"/>
                <w:sz w:val="24"/>
                <w:szCs w:val="24"/>
              </w:rPr>
              <w:t>.</w:t>
            </w:r>
          </w:p>
          <w:p w:rsidR="00C26F65" w:rsidRPr="00C14392" w:rsidRDefault="00C26F65" w:rsidP="00C26F65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3F2DDC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3F2DDC" w:rsidRDefault="00BD37F4" w:rsidP="001D52E8">
            <w:pPr>
              <w:rPr>
                <w:rFonts w:cs="Arial"/>
                <w:b/>
                <w:sz w:val="24"/>
                <w:szCs w:val="24"/>
              </w:rPr>
            </w:pPr>
            <w:r w:rsidRPr="00004900">
              <w:rPr>
                <w:rFonts w:cs="Arial"/>
                <w:b/>
                <w:sz w:val="24"/>
                <w:szCs w:val="24"/>
              </w:rPr>
              <w:t>Q</w:t>
            </w:r>
            <w:r w:rsidR="00C26F65">
              <w:rPr>
                <w:rFonts w:cs="Arial"/>
                <w:b/>
                <w:sz w:val="24"/>
                <w:szCs w:val="24"/>
              </w:rPr>
              <w:t>3</w:t>
            </w:r>
            <w:r w:rsidRPr="00004900">
              <w:rPr>
                <w:rFonts w:cs="Arial"/>
                <w:b/>
                <w:sz w:val="24"/>
                <w:szCs w:val="24"/>
              </w:rPr>
              <w:t>. When can colleges expect to see a monitoring schedule?</w:t>
            </w:r>
          </w:p>
          <w:p w:rsidR="00C14392" w:rsidRPr="00C14392" w:rsidRDefault="00C14392" w:rsidP="001D52E8">
            <w:pPr>
              <w:rPr>
                <w:rFonts w:cs="Arial"/>
                <w:sz w:val="8"/>
                <w:szCs w:val="8"/>
              </w:rPr>
            </w:pPr>
          </w:p>
        </w:tc>
      </w:tr>
      <w:tr w:rsidR="001D52E8" w:rsidRPr="00004900" w:rsidTr="004575E0">
        <w:trPr>
          <w:trHeight w:val="292"/>
        </w:trPr>
        <w:tc>
          <w:tcPr>
            <w:tcW w:w="10890" w:type="dxa"/>
            <w:shd w:val="clear" w:color="auto" w:fill="auto"/>
          </w:tcPr>
          <w:p w:rsidR="001D52E8" w:rsidRPr="00004900" w:rsidRDefault="001D52E8" w:rsidP="00A102B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004900">
              <w:rPr>
                <w:rFonts w:cs="Arial"/>
                <w:sz w:val="24"/>
                <w:szCs w:val="24"/>
              </w:rPr>
              <w:t>Programmatic monitoring occurs on a 2 year cycle and the s</w:t>
            </w:r>
            <w:r w:rsidR="00A102B6">
              <w:rPr>
                <w:rFonts w:cs="Arial"/>
                <w:sz w:val="24"/>
                <w:szCs w:val="24"/>
              </w:rPr>
              <w:t xml:space="preserve">chedule will be released this </w:t>
            </w:r>
            <w:r w:rsidRPr="00004900">
              <w:rPr>
                <w:rFonts w:cs="Arial"/>
                <w:sz w:val="24"/>
                <w:szCs w:val="24"/>
              </w:rPr>
              <w:t>summer.  ICCB will send out the fiscal monitoring schedule (5 year cycle), if available</w:t>
            </w:r>
            <w:r w:rsidR="00C14392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965108" w:rsidRDefault="00965108" w:rsidP="000722B3">
      <w:pPr>
        <w:rPr>
          <w:sz w:val="20"/>
        </w:rPr>
      </w:pPr>
    </w:p>
    <w:p w:rsidR="006A32B9" w:rsidRDefault="006A32B9" w:rsidP="000722B3">
      <w:pPr>
        <w:rPr>
          <w:sz w:val="20"/>
        </w:rPr>
      </w:pPr>
    </w:p>
    <w:p w:rsidR="006A32B9" w:rsidRPr="000722B3" w:rsidRDefault="006A32B9" w:rsidP="000722B3">
      <w:pPr>
        <w:rPr>
          <w:sz w:val="20"/>
        </w:rPr>
      </w:pPr>
    </w:p>
    <w:sectPr w:rsidR="006A32B9" w:rsidRPr="000722B3" w:rsidSect="00464F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89"/>
    <w:multiLevelType w:val="hybridMultilevel"/>
    <w:tmpl w:val="F7004E30"/>
    <w:lvl w:ilvl="0" w:tplc="AB5EB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A085E"/>
    <w:multiLevelType w:val="hybridMultilevel"/>
    <w:tmpl w:val="F3DCC154"/>
    <w:lvl w:ilvl="0" w:tplc="A344FD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01BC"/>
    <w:multiLevelType w:val="hybridMultilevel"/>
    <w:tmpl w:val="D8B2D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6DE2"/>
    <w:multiLevelType w:val="hybridMultilevel"/>
    <w:tmpl w:val="CBF886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14F8C"/>
    <w:multiLevelType w:val="hybridMultilevel"/>
    <w:tmpl w:val="14EE6FC8"/>
    <w:lvl w:ilvl="0" w:tplc="D5E429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1617"/>
    <w:multiLevelType w:val="hybridMultilevel"/>
    <w:tmpl w:val="3ABED88C"/>
    <w:lvl w:ilvl="0" w:tplc="A14EC8A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77EF"/>
    <w:multiLevelType w:val="hybridMultilevel"/>
    <w:tmpl w:val="C734C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373"/>
    <w:multiLevelType w:val="hybridMultilevel"/>
    <w:tmpl w:val="46DCE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6C74"/>
    <w:multiLevelType w:val="hybridMultilevel"/>
    <w:tmpl w:val="B4F259D0"/>
    <w:lvl w:ilvl="0" w:tplc="D5E429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7A81"/>
    <w:multiLevelType w:val="hybridMultilevel"/>
    <w:tmpl w:val="F4DC64AA"/>
    <w:lvl w:ilvl="0" w:tplc="E70A276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4C22D07"/>
    <w:multiLevelType w:val="hybridMultilevel"/>
    <w:tmpl w:val="613C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851BC"/>
    <w:multiLevelType w:val="hybridMultilevel"/>
    <w:tmpl w:val="E8DA9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7B67"/>
    <w:multiLevelType w:val="hybridMultilevel"/>
    <w:tmpl w:val="BF001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50531"/>
    <w:multiLevelType w:val="hybridMultilevel"/>
    <w:tmpl w:val="C5F28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4FD2"/>
    <w:multiLevelType w:val="hybridMultilevel"/>
    <w:tmpl w:val="016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D4AD5"/>
    <w:multiLevelType w:val="hybridMultilevel"/>
    <w:tmpl w:val="0CE4C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7839"/>
    <w:multiLevelType w:val="hybridMultilevel"/>
    <w:tmpl w:val="008E876A"/>
    <w:lvl w:ilvl="0" w:tplc="D5E429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D1C00"/>
    <w:multiLevelType w:val="hybridMultilevel"/>
    <w:tmpl w:val="202EF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1161"/>
    <w:multiLevelType w:val="hybridMultilevel"/>
    <w:tmpl w:val="04EC5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F50DE"/>
    <w:multiLevelType w:val="hybridMultilevel"/>
    <w:tmpl w:val="43AED9DA"/>
    <w:lvl w:ilvl="0" w:tplc="82EAAC5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B6B5F"/>
    <w:multiLevelType w:val="hybridMultilevel"/>
    <w:tmpl w:val="C28266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46122"/>
    <w:multiLevelType w:val="hybridMultilevel"/>
    <w:tmpl w:val="5E624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9"/>
  </w:num>
  <w:num w:numId="5">
    <w:abstractNumId w:val="15"/>
  </w:num>
  <w:num w:numId="6">
    <w:abstractNumId w:val="5"/>
  </w:num>
  <w:num w:numId="7">
    <w:abstractNumId w:val="1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0"/>
  </w:num>
  <w:num w:numId="13">
    <w:abstractNumId w:val="7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16"/>
  </w:num>
  <w:num w:numId="19">
    <w:abstractNumId w:val="4"/>
  </w:num>
  <w:num w:numId="20">
    <w:abstractNumId w:val="0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A3"/>
    <w:rsid w:val="00004900"/>
    <w:rsid w:val="00006B19"/>
    <w:rsid w:val="000722B3"/>
    <w:rsid w:val="000F670E"/>
    <w:rsid w:val="001D52E8"/>
    <w:rsid w:val="001D6CE3"/>
    <w:rsid w:val="002615A3"/>
    <w:rsid w:val="00294224"/>
    <w:rsid w:val="002F0D23"/>
    <w:rsid w:val="00311535"/>
    <w:rsid w:val="003929A1"/>
    <w:rsid w:val="003B5048"/>
    <w:rsid w:val="003F2DDC"/>
    <w:rsid w:val="004133E5"/>
    <w:rsid w:val="00437F9C"/>
    <w:rsid w:val="004575E0"/>
    <w:rsid w:val="00464F5D"/>
    <w:rsid w:val="004A7A2B"/>
    <w:rsid w:val="004C2822"/>
    <w:rsid w:val="00504A83"/>
    <w:rsid w:val="00514F24"/>
    <w:rsid w:val="005B086E"/>
    <w:rsid w:val="00601535"/>
    <w:rsid w:val="00620A57"/>
    <w:rsid w:val="006A32B9"/>
    <w:rsid w:val="008D2159"/>
    <w:rsid w:val="009203EF"/>
    <w:rsid w:val="00965108"/>
    <w:rsid w:val="009D40C5"/>
    <w:rsid w:val="00A102B6"/>
    <w:rsid w:val="00A506BD"/>
    <w:rsid w:val="00AF7395"/>
    <w:rsid w:val="00B16E93"/>
    <w:rsid w:val="00BC0DA2"/>
    <w:rsid w:val="00BD37F4"/>
    <w:rsid w:val="00C14392"/>
    <w:rsid w:val="00C26F65"/>
    <w:rsid w:val="00CC5E65"/>
    <w:rsid w:val="00CF14FB"/>
    <w:rsid w:val="00D263C3"/>
    <w:rsid w:val="00D42EB0"/>
    <w:rsid w:val="00D562C8"/>
    <w:rsid w:val="00D74504"/>
    <w:rsid w:val="00DC1044"/>
    <w:rsid w:val="00E56D41"/>
    <w:rsid w:val="00F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2244-9926-443B-85CA-5D8721BE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Montgomery</dc:creator>
  <cp:lastModifiedBy>Amanda Corso</cp:lastModifiedBy>
  <cp:revision>2</cp:revision>
  <cp:lastPrinted>2014-04-22T17:40:00Z</cp:lastPrinted>
  <dcterms:created xsi:type="dcterms:W3CDTF">2014-05-15T19:26:00Z</dcterms:created>
  <dcterms:modified xsi:type="dcterms:W3CDTF">2014-05-15T19:26:00Z</dcterms:modified>
</cp:coreProperties>
</file>